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8D" w:rsidRPr="002409D9" w:rsidRDefault="00DA1A8D" w:rsidP="004E50F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9D9">
        <w:rPr>
          <w:rFonts w:ascii="Times New Roman" w:hAnsi="Times New Roman" w:cs="Times New Roman"/>
          <w:b/>
          <w:sz w:val="24"/>
          <w:szCs w:val="24"/>
          <w:u w:val="single"/>
        </w:rPr>
        <w:t>Horizontal Information Exchanges</w:t>
      </w:r>
    </w:p>
    <w:p w:rsidR="0066097E" w:rsidRDefault="004D523A" w:rsidP="00581BE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exchange</w:t>
      </w:r>
      <w:r w:rsidR="00581BE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can take several forms</w:t>
      </w:r>
      <w:r w:rsidR="001F1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BEB">
        <w:rPr>
          <w:rFonts w:ascii="Times New Roman" w:hAnsi="Times New Roman" w:cs="Times New Roman"/>
          <w:sz w:val="24"/>
          <w:szCs w:val="24"/>
        </w:rPr>
        <w:t>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BEB">
        <w:rPr>
          <w:rFonts w:ascii="Times New Roman" w:hAnsi="Times New Roman" w:cs="Times New Roman"/>
          <w:sz w:val="24"/>
          <w:szCs w:val="24"/>
        </w:rPr>
        <w:t xml:space="preserve">direct </w:t>
      </w:r>
      <w:r>
        <w:rPr>
          <w:rFonts w:ascii="Times New Roman" w:hAnsi="Times New Roman" w:cs="Times New Roman"/>
          <w:sz w:val="24"/>
          <w:szCs w:val="24"/>
        </w:rPr>
        <w:t xml:space="preserve">sharing of </w:t>
      </w:r>
      <w:r w:rsidR="00581BE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between competitors</w:t>
      </w:r>
      <w:r w:rsidR="00581BEB">
        <w:rPr>
          <w:rFonts w:ascii="Times New Roman" w:hAnsi="Times New Roman" w:cs="Times New Roman"/>
          <w:sz w:val="24"/>
          <w:szCs w:val="24"/>
        </w:rPr>
        <w:t xml:space="preserve">, </w:t>
      </w:r>
      <w:r w:rsidR="001F1C3F">
        <w:rPr>
          <w:rFonts w:ascii="Times New Roman" w:hAnsi="Times New Roman" w:cs="Times New Roman"/>
          <w:sz w:val="24"/>
          <w:szCs w:val="24"/>
        </w:rPr>
        <w:t xml:space="preserve">via </w:t>
      </w:r>
      <w:r w:rsidR="00581BEB">
        <w:rPr>
          <w:rFonts w:ascii="Times New Roman" w:hAnsi="Times New Roman" w:cs="Times New Roman"/>
          <w:sz w:val="24"/>
          <w:szCs w:val="24"/>
        </w:rPr>
        <w:t xml:space="preserve">a trade association or other </w:t>
      </w:r>
      <w:r w:rsidR="001F1C3F">
        <w:rPr>
          <w:rFonts w:ascii="Times New Roman" w:hAnsi="Times New Roman" w:cs="Times New Roman"/>
          <w:sz w:val="24"/>
          <w:szCs w:val="24"/>
        </w:rPr>
        <w:t>third party</w:t>
      </w:r>
      <w:r w:rsidR="007C6680">
        <w:rPr>
          <w:rFonts w:ascii="Times New Roman" w:hAnsi="Times New Roman" w:cs="Times New Roman"/>
          <w:sz w:val="24"/>
          <w:szCs w:val="24"/>
        </w:rPr>
        <w:t>, or</w:t>
      </w:r>
      <w:r w:rsidR="00581BEB">
        <w:rPr>
          <w:rFonts w:ascii="Times New Roman" w:hAnsi="Times New Roman" w:cs="Times New Roman"/>
          <w:sz w:val="24"/>
          <w:szCs w:val="24"/>
        </w:rPr>
        <w:t xml:space="preserve"> via </w:t>
      </w:r>
      <w:r w:rsidR="001F1C3F">
        <w:rPr>
          <w:rFonts w:ascii="Times New Roman" w:hAnsi="Times New Roman" w:cs="Times New Roman"/>
          <w:sz w:val="24"/>
          <w:szCs w:val="24"/>
        </w:rPr>
        <w:t>public disclosure</w:t>
      </w:r>
      <w:r>
        <w:rPr>
          <w:rFonts w:ascii="Times New Roman" w:hAnsi="Times New Roman" w:cs="Times New Roman"/>
          <w:sz w:val="24"/>
          <w:szCs w:val="24"/>
        </w:rPr>
        <w:t xml:space="preserve">. But whichever form it takes, </w:t>
      </w:r>
      <w:r w:rsidR="006609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information exchange can only be addressed under Article 101 if it establishe</w:t>
      </w:r>
      <w:r w:rsidR="00EC16CD">
        <w:rPr>
          <w:rFonts w:ascii="Times New Roman" w:hAnsi="Times New Roman" w:cs="Times New Roman"/>
          <w:sz w:val="24"/>
          <w:szCs w:val="24"/>
        </w:rPr>
        <w:t>s</w:t>
      </w:r>
      <w:r w:rsidR="001F1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is part of an agreement, a concerted practice or a decision of an association of undertakings”</w:t>
      </w:r>
      <w:r w:rsidR="0066097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6097E">
        <w:rPr>
          <w:rFonts w:ascii="Times New Roman" w:hAnsi="Times New Roman" w:cs="Times New Roman"/>
          <w:sz w:val="24"/>
          <w:szCs w:val="24"/>
        </w:rPr>
        <w:t>. In</w:t>
      </w:r>
      <w:r w:rsidR="001F1C3F">
        <w:rPr>
          <w:rFonts w:ascii="Times New Roman" w:hAnsi="Times New Roman" w:cs="Times New Roman"/>
          <w:sz w:val="24"/>
          <w:szCs w:val="24"/>
        </w:rPr>
        <w:t xml:space="preserve"> the</w:t>
      </w:r>
      <w:r w:rsidR="0066097E">
        <w:rPr>
          <w:rFonts w:ascii="Times New Roman" w:hAnsi="Times New Roman" w:cs="Times New Roman"/>
          <w:sz w:val="24"/>
          <w:szCs w:val="24"/>
        </w:rPr>
        <w:t xml:space="preserve"> </w:t>
      </w:r>
      <w:r w:rsidR="0066097E" w:rsidRPr="004D523A">
        <w:rPr>
          <w:rFonts w:ascii="Times New Roman" w:hAnsi="Times New Roman" w:cs="Times New Roman"/>
          <w:i/>
          <w:sz w:val="24"/>
          <w:szCs w:val="24"/>
          <w:u w:val="single"/>
        </w:rPr>
        <w:t>T-Mobile</w:t>
      </w:r>
      <w:r w:rsidR="001F1C3F">
        <w:rPr>
          <w:rFonts w:ascii="Times New Roman" w:hAnsi="Times New Roman" w:cs="Times New Roman"/>
          <w:sz w:val="24"/>
          <w:szCs w:val="24"/>
        </w:rPr>
        <w:t xml:space="preserve"> </w:t>
      </w:r>
      <w:r w:rsidR="0066097E">
        <w:rPr>
          <w:rFonts w:ascii="Times New Roman" w:hAnsi="Times New Roman" w:cs="Times New Roman"/>
          <w:sz w:val="24"/>
          <w:szCs w:val="24"/>
        </w:rPr>
        <w:t>decision</w:t>
      </w:r>
      <w:r w:rsidR="006609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097E">
        <w:rPr>
          <w:rFonts w:ascii="Times New Roman" w:hAnsi="Times New Roman" w:cs="Times New Roman"/>
          <w:sz w:val="24"/>
          <w:szCs w:val="24"/>
        </w:rPr>
        <w:t xml:space="preserve">the ECJ held that </w:t>
      </w:r>
      <w:r w:rsidR="0066097E" w:rsidRPr="004D523A">
        <w:rPr>
          <w:rFonts w:ascii="Times New Roman" w:hAnsi="Times New Roman" w:cs="Times New Roman"/>
          <w:sz w:val="24"/>
          <w:szCs w:val="24"/>
        </w:rPr>
        <w:t>even a one-time exchange of information among competitors can amount to a prohibit</w:t>
      </w:r>
      <w:r w:rsidR="0066097E">
        <w:rPr>
          <w:rFonts w:ascii="Times New Roman" w:hAnsi="Times New Roman" w:cs="Times New Roman"/>
          <w:sz w:val="24"/>
          <w:szCs w:val="24"/>
        </w:rPr>
        <w:t xml:space="preserve">ed </w:t>
      </w:r>
      <w:r w:rsidR="0066097E" w:rsidRPr="004D523A">
        <w:rPr>
          <w:rFonts w:ascii="Times New Roman" w:hAnsi="Times New Roman" w:cs="Times New Roman"/>
          <w:sz w:val="24"/>
          <w:szCs w:val="24"/>
          <w:u w:val="single"/>
        </w:rPr>
        <w:t>concerted practice</w:t>
      </w:r>
      <w:r w:rsidR="0066097E">
        <w:rPr>
          <w:rFonts w:ascii="Times New Roman" w:hAnsi="Times New Roman" w:cs="Times New Roman"/>
          <w:sz w:val="24"/>
          <w:szCs w:val="24"/>
        </w:rPr>
        <w:t xml:space="preserve"> under </w:t>
      </w:r>
      <w:r w:rsidR="0066097E" w:rsidRPr="004D523A">
        <w:rPr>
          <w:rFonts w:ascii="Times New Roman" w:hAnsi="Times New Roman" w:cs="Times New Roman"/>
          <w:sz w:val="24"/>
          <w:szCs w:val="24"/>
          <w:u w:val="single"/>
        </w:rPr>
        <w:t>Article 101 TFEU.</w:t>
      </w:r>
    </w:p>
    <w:p w:rsidR="005A78AC" w:rsidRDefault="00581BEB" w:rsidP="004E50F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recognized in its revised Guidelines that t</w:t>
      </w:r>
      <w:r w:rsidR="00DA1A8D" w:rsidRPr="002409D9">
        <w:rPr>
          <w:rFonts w:ascii="Times New Roman" w:hAnsi="Times New Roman" w:cs="Times New Roman"/>
          <w:sz w:val="24"/>
          <w:szCs w:val="24"/>
        </w:rPr>
        <w:t>he effects of information exchange</w:t>
      </w:r>
      <w:r w:rsidR="00D76C41">
        <w:rPr>
          <w:rFonts w:ascii="Times New Roman" w:hAnsi="Times New Roman" w:cs="Times New Roman"/>
          <w:sz w:val="24"/>
          <w:szCs w:val="24"/>
        </w:rPr>
        <w:t>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competition </w:t>
      </w:r>
      <w:r w:rsidR="00DA1A8D" w:rsidRPr="002409D9">
        <w:rPr>
          <w:rFonts w:ascii="Times New Roman" w:hAnsi="Times New Roman" w:cs="Times New Roman"/>
          <w:sz w:val="24"/>
          <w:szCs w:val="24"/>
        </w:rPr>
        <w:t>can be both positive and negativ</w:t>
      </w:r>
      <w:r w:rsidR="00D76C41">
        <w:rPr>
          <w:rFonts w:ascii="Times New Roman" w:hAnsi="Times New Roman" w:cs="Times New Roman"/>
          <w:sz w:val="24"/>
          <w:szCs w:val="24"/>
        </w:rPr>
        <w:t>e,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depend</w:t>
      </w:r>
      <w:r w:rsidR="00D76C41">
        <w:rPr>
          <w:rFonts w:ascii="Times New Roman" w:hAnsi="Times New Roman" w:cs="Times New Roman"/>
          <w:sz w:val="24"/>
          <w:szCs w:val="24"/>
        </w:rPr>
        <w:t>ing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on the circumstances of each particular case.</w:t>
      </w:r>
      <w:r w:rsidR="00B37BC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A1A8D" w:rsidRPr="002409D9">
        <w:rPr>
          <w:rFonts w:ascii="Times New Roman" w:hAnsi="Times New Roman" w:cs="Times New Roman"/>
          <w:sz w:val="24"/>
          <w:szCs w:val="24"/>
        </w:rPr>
        <w:tab/>
      </w:r>
      <w:r w:rsidR="00B37BC9">
        <w:rPr>
          <w:rFonts w:ascii="Times New Roman" w:hAnsi="Times New Roman" w:cs="Times New Roman"/>
          <w:sz w:val="24"/>
          <w:szCs w:val="24"/>
        </w:rPr>
        <w:t xml:space="preserve">From a purely economic prospective, </w:t>
      </w:r>
      <w:r w:rsidR="00DA1A8D" w:rsidRPr="002409D9">
        <w:rPr>
          <w:rFonts w:ascii="Times New Roman" w:hAnsi="Times New Roman" w:cs="Times New Roman"/>
          <w:sz w:val="24"/>
          <w:szCs w:val="24"/>
        </w:rPr>
        <w:t>information exchange</w:t>
      </w:r>
      <w:r w:rsidR="007A40B2">
        <w:rPr>
          <w:rFonts w:ascii="Times New Roman" w:hAnsi="Times New Roman" w:cs="Times New Roman"/>
          <w:sz w:val="24"/>
          <w:szCs w:val="24"/>
        </w:rPr>
        <w:t>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="00DA1A8D" w:rsidRPr="002409D9">
        <w:rPr>
          <w:rFonts w:ascii="Times New Roman" w:hAnsi="Times New Roman" w:cs="Times New Roman"/>
          <w:sz w:val="24"/>
          <w:szCs w:val="24"/>
        </w:rPr>
        <w:t>that</w:t>
      </w:r>
      <w:r w:rsidR="001F1C3F">
        <w:rPr>
          <w:rFonts w:ascii="Times New Roman" w:hAnsi="Times New Roman" w:cs="Times New Roman"/>
          <w:sz w:val="24"/>
          <w:szCs w:val="24"/>
        </w:rPr>
        <w:t>, for example,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increase </w:t>
      </w:r>
      <w:r w:rsidR="00D76C41">
        <w:rPr>
          <w:rFonts w:ascii="Times New Roman" w:hAnsi="Times New Roman" w:cs="Times New Roman"/>
          <w:sz w:val="24"/>
          <w:szCs w:val="24"/>
        </w:rPr>
        <w:t>a</w:t>
      </w:r>
      <w:r w:rsidR="004E50F2">
        <w:rPr>
          <w:rFonts w:ascii="Times New Roman" w:hAnsi="Times New Roman" w:cs="Times New Roman"/>
          <w:sz w:val="24"/>
          <w:szCs w:val="24"/>
        </w:rPr>
        <w:t xml:space="preserve"> company’s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ability to predict demand </w:t>
      </w:r>
      <w:r w:rsidR="006921A4" w:rsidRPr="002409D9">
        <w:rPr>
          <w:rFonts w:ascii="Times New Roman" w:hAnsi="Times New Roman" w:cs="Times New Roman"/>
          <w:sz w:val="24"/>
          <w:szCs w:val="24"/>
        </w:rPr>
        <w:t>fluctuations</w:t>
      </w:r>
      <w:r w:rsidR="00F5012F">
        <w:rPr>
          <w:rFonts w:ascii="Times New Roman" w:hAnsi="Times New Roman" w:cs="Times New Roman"/>
          <w:sz w:val="24"/>
          <w:szCs w:val="24"/>
        </w:rPr>
        <w:t xml:space="preserve"> </w:t>
      </w:r>
      <w:r w:rsidR="00DA1A8D" w:rsidRPr="002409D9">
        <w:rPr>
          <w:rFonts w:ascii="Times New Roman" w:hAnsi="Times New Roman" w:cs="Times New Roman"/>
          <w:sz w:val="24"/>
          <w:szCs w:val="24"/>
        </w:rPr>
        <w:t>can help optimize inventories and avoid overproduction</w:t>
      </w:r>
      <w:r w:rsidR="00D76C41">
        <w:rPr>
          <w:rFonts w:ascii="Times New Roman" w:hAnsi="Times New Roman" w:cs="Times New Roman"/>
          <w:sz w:val="24"/>
          <w:szCs w:val="24"/>
        </w:rPr>
        <w:t xml:space="preserve"> or </w:t>
      </w:r>
      <w:r w:rsidR="00DA1A8D" w:rsidRPr="002409D9">
        <w:rPr>
          <w:rFonts w:ascii="Times New Roman" w:hAnsi="Times New Roman" w:cs="Times New Roman"/>
          <w:sz w:val="24"/>
          <w:szCs w:val="24"/>
        </w:rPr>
        <w:t>shortages. This</w:t>
      </w:r>
      <w:r w:rsidR="00D76C41">
        <w:rPr>
          <w:rFonts w:ascii="Times New Roman" w:hAnsi="Times New Roman" w:cs="Times New Roman"/>
          <w:sz w:val="24"/>
          <w:szCs w:val="24"/>
        </w:rPr>
        <w:t xml:space="preserve"> type of information exchange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make</w:t>
      </w:r>
      <w:r w:rsidR="00EC16CD">
        <w:rPr>
          <w:rFonts w:ascii="Times New Roman" w:hAnsi="Times New Roman" w:cs="Times New Roman"/>
          <w:sz w:val="24"/>
          <w:szCs w:val="24"/>
        </w:rPr>
        <w:t>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the </w:t>
      </w:r>
      <w:r w:rsidR="00DA1A8D" w:rsidRPr="002409D9">
        <w:rPr>
          <w:rFonts w:ascii="Times New Roman" w:hAnsi="Times New Roman" w:cs="Times New Roman"/>
          <w:sz w:val="24"/>
          <w:szCs w:val="24"/>
        </w:rPr>
        <w:t>producers more efficient, reduce supply chain</w:t>
      </w:r>
      <w:r w:rsidR="008D5128">
        <w:rPr>
          <w:rFonts w:ascii="Times New Roman" w:hAnsi="Times New Roman" w:cs="Times New Roman"/>
          <w:sz w:val="24"/>
          <w:szCs w:val="24"/>
        </w:rPr>
        <w:t xml:space="preserve"> cost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and</w:t>
      </w:r>
      <w:r w:rsidR="00BB75C3">
        <w:rPr>
          <w:rFonts w:ascii="Times New Roman" w:hAnsi="Times New Roman" w:cs="Times New Roman"/>
          <w:sz w:val="24"/>
          <w:szCs w:val="24"/>
        </w:rPr>
        <w:t>,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eventually</w:t>
      </w:r>
      <w:r w:rsidR="00BB75C3">
        <w:rPr>
          <w:rFonts w:ascii="Times New Roman" w:hAnsi="Times New Roman" w:cs="Times New Roman"/>
          <w:sz w:val="24"/>
          <w:szCs w:val="24"/>
        </w:rPr>
        <w:t>,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bring benefits to consumers</w:t>
      </w:r>
      <w:r w:rsidR="00D76C41">
        <w:rPr>
          <w:rFonts w:ascii="Times New Roman" w:hAnsi="Times New Roman" w:cs="Times New Roman"/>
          <w:sz w:val="24"/>
          <w:szCs w:val="24"/>
        </w:rPr>
        <w:t xml:space="preserve"> in the form of lower prices</w:t>
      </w:r>
      <w:r w:rsidR="004E50F2">
        <w:rPr>
          <w:rFonts w:ascii="Times New Roman" w:hAnsi="Times New Roman" w:cs="Times New Roman"/>
          <w:sz w:val="24"/>
          <w:szCs w:val="24"/>
        </w:rPr>
        <w:t xml:space="preserve">. </w:t>
      </w:r>
      <w:r w:rsidR="00B37BC9">
        <w:rPr>
          <w:rFonts w:ascii="Times New Roman" w:hAnsi="Times New Roman" w:cs="Times New Roman"/>
          <w:sz w:val="24"/>
          <w:szCs w:val="24"/>
        </w:rPr>
        <w:t>However</w:t>
      </w:r>
      <w:r w:rsidR="004E50F2">
        <w:rPr>
          <w:rFonts w:ascii="Times New Roman" w:hAnsi="Times New Roman" w:cs="Times New Roman"/>
          <w:sz w:val="24"/>
          <w:szCs w:val="24"/>
        </w:rPr>
        <w:t xml:space="preserve">, 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information exchanges can </w:t>
      </w:r>
      <w:r w:rsidR="00B37BC9">
        <w:rPr>
          <w:rFonts w:ascii="Times New Roman" w:hAnsi="Times New Roman" w:cs="Times New Roman"/>
          <w:sz w:val="24"/>
          <w:szCs w:val="24"/>
        </w:rPr>
        <w:t xml:space="preserve">also 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be destructive to competition </w:t>
      </w:r>
      <w:r w:rsidR="00257FEF">
        <w:rPr>
          <w:rFonts w:ascii="Times New Roman" w:hAnsi="Times New Roman" w:cs="Times New Roman"/>
          <w:sz w:val="24"/>
          <w:szCs w:val="24"/>
        </w:rPr>
        <w:t>by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lead</w:t>
      </w:r>
      <w:r w:rsidR="00257FEF">
        <w:rPr>
          <w:rFonts w:ascii="Times New Roman" w:hAnsi="Times New Roman" w:cs="Times New Roman"/>
          <w:sz w:val="24"/>
          <w:szCs w:val="24"/>
        </w:rPr>
        <w:t>ing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to coordination </w:t>
      </w:r>
      <w:r w:rsidR="004E50F2">
        <w:rPr>
          <w:rFonts w:ascii="Times New Roman" w:hAnsi="Times New Roman" w:cs="Times New Roman"/>
          <w:sz w:val="24"/>
          <w:szCs w:val="24"/>
        </w:rPr>
        <w:t xml:space="preserve">and </w:t>
      </w:r>
      <w:r w:rsidR="004E50F2" w:rsidRPr="006921A4">
        <w:rPr>
          <w:rFonts w:ascii="Times New Roman" w:hAnsi="Times New Roman" w:cs="Times New Roman"/>
          <w:sz w:val="24"/>
          <w:szCs w:val="24"/>
          <w:u w:val="single"/>
        </w:rPr>
        <w:t>collusive behavior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. </w:t>
      </w:r>
      <w:r w:rsidR="00257FEF">
        <w:rPr>
          <w:rFonts w:ascii="Times New Roman" w:hAnsi="Times New Roman" w:cs="Times New Roman"/>
          <w:sz w:val="24"/>
          <w:szCs w:val="24"/>
        </w:rPr>
        <w:t>For instance, i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nformation exchanges that </w:t>
      </w:r>
      <w:r w:rsidR="00D76C41">
        <w:rPr>
          <w:rFonts w:ascii="Times New Roman" w:hAnsi="Times New Roman" w:cs="Times New Roman"/>
          <w:sz w:val="24"/>
          <w:szCs w:val="24"/>
        </w:rPr>
        <w:t>create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tran</w:t>
      </w:r>
      <w:r w:rsidR="004E50F2">
        <w:rPr>
          <w:rFonts w:ascii="Times New Roman" w:hAnsi="Times New Roman" w:cs="Times New Roman"/>
          <w:sz w:val="24"/>
          <w:szCs w:val="24"/>
        </w:rPr>
        <w:t>sparency of</w:t>
      </w:r>
      <w:r w:rsidR="00EC16CD">
        <w:rPr>
          <w:rFonts w:ascii="Times New Roman" w:hAnsi="Times New Roman" w:cs="Times New Roman"/>
          <w:sz w:val="24"/>
          <w:szCs w:val="24"/>
        </w:rPr>
        <w:t xml:space="preserve"> future</w:t>
      </w:r>
      <w:r w:rsidR="004E50F2">
        <w:rPr>
          <w:rFonts w:ascii="Times New Roman" w:hAnsi="Times New Roman" w:cs="Times New Roman"/>
          <w:sz w:val="24"/>
          <w:szCs w:val="24"/>
        </w:rPr>
        <w:t xml:space="preserve"> price or capacity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c</w:t>
      </w:r>
      <w:r w:rsidR="007D2812">
        <w:rPr>
          <w:rFonts w:ascii="Times New Roman" w:hAnsi="Times New Roman" w:cs="Times New Roman"/>
          <w:sz w:val="24"/>
          <w:szCs w:val="24"/>
        </w:rPr>
        <w:t>ould</w:t>
      </w:r>
      <w:r w:rsidR="00F5012F">
        <w:rPr>
          <w:rFonts w:ascii="Times New Roman" w:hAnsi="Times New Roman" w:cs="Times New Roman"/>
          <w:sz w:val="24"/>
          <w:szCs w:val="24"/>
        </w:rPr>
        <w:t xml:space="preserve"> lead to collusion</w:t>
      </w:r>
      <w:r w:rsidR="00BB75C3">
        <w:rPr>
          <w:rFonts w:ascii="Times New Roman" w:hAnsi="Times New Roman" w:cs="Times New Roman"/>
          <w:sz w:val="24"/>
          <w:szCs w:val="24"/>
        </w:rPr>
        <w:t xml:space="preserve"> even</w:t>
      </w:r>
      <w:r w:rsidR="00F5012F">
        <w:rPr>
          <w:rFonts w:ascii="Times New Roman" w:hAnsi="Times New Roman" w:cs="Times New Roman"/>
          <w:sz w:val="24"/>
          <w:szCs w:val="24"/>
        </w:rPr>
        <w:t xml:space="preserve"> in the absence of express anti-competitive agreement</w:t>
      </w:r>
      <w:r w:rsidR="00BB75C3">
        <w:rPr>
          <w:rFonts w:ascii="Times New Roman" w:hAnsi="Times New Roman" w:cs="Times New Roman"/>
          <w:sz w:val="24"/>
          <w:szCs w:val="24"/>
        </w:rPr>
        <w:t>,</w:t>
      </w:r>
      <w:r w:rsidR="00F5012F">
        <w:rPr>
          <w:rFonts w:ascii="Times New Roman" w:hAnsi="Times New Roman" w:cs="Times New Roman"/>
          <w:sz w:val="24"/>
          <w:szCs w:val="24"/>
        </w:rPr>
        <w:t xml:space="preserve"> </w:t>
      </w:r>
      <w:r w:rsidR="007C5626">
        <w:rPr>
          <w:rFonts w:ascii="Times New Roman" w:hAnsi="Times New Roman" w:cs="Times New Roman"/>
          <w:sz w:val="24"/>
          <w:szCs w:val="24"/>
        </w:rPr>
        <w:t>especially</w:t>
      </w:r>
      <w:r w:rsidR="00F5012F">
        <w:rPr>
          <w:rFonts w:ascii="Times New Roman" w:hAnsi="Times New Roman" w:cs="Times New Roman"/>
          <w:sz w:val="24"/>
          <w:szCs w:val="24"/>
        </w:rPr>
        <w:t xml:space="preserve"> in an oligopoly</w:t>
      </w:r>
      <w:r w:rsidR="00BB75C3">
        <w:rPr>
          <w:rFonts w:ascii="Times New Roman" w:hAnsi="Times New Roman" w:cs="Times New Roman"/>
          <w:sz w:val="24"/>
          <w:szCs w:val="24"/>
        </w:rPr>
        <w:t xml:space="preserve"> -</w:t>
      </w:r>
      <w:r w:rsidR="00F5012F">
        <w:rPr>
          <w:rFonts w:ascii="Times New Roman" w:hAnsi="Times New Roman" w:cs="Times New Roman"/>
          <w:sz w:val="24"/>
          <w:szCs w:val="24"/>
        </w:rPr>
        <w:t xml:space="preserve"> a market with only a few competitors, which makes it easier to monitor behavior and</w:t>
      </w:r>
      <w:r w:rsidR="006921A4">
        <w:rPr>
          <w:rFonts w:ascii="Times New Roman" w:hAnsi="Times New Roman" w:cs="Times New Roman"/>
          <w:sz w:val="24"/>
          <w:szCs w:val="24"/>
        </w:rPr>
        <w:t xml:space="preserve"> compliance of other </w:t>
      </w:r>
      <w:r w:rsidR="005A78AC">
        <w:rPr>
          <w:rFonts w:ascii="Times New Roman" w:hAnsi="Times New Roman" w:cs="Times New Roman"/>
          <w:sz w:val="24"/>
          <w:szCs w:val="24"/>
        </w:rPr>
        <w:t>companies</w:t>
      </w:r>
      <w:r w:rsidR="006921A4">
        <w:rPr>
          <w:rFonts w:ascii="Times New Roman" w:hAnsi="Times New Roman" w:cs="Times New Roman"/>
          <w:sz w:val="24"/>
          <w:szCs w:val="24"/>
        </w:rPr>
        <w:t xml:space="preserve">. </w:t>
      </w:r>
      <w:r w:rsidR="008D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A8D" w:rsidRDefault="001F1C3F" w:rsidP="005A78A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Nonetheless</w:t>
      </w:r>
      <w:r w:rsidR="005A78AC">
        <w:rPr>
          <w:rFonts w:ascii="Times New Roman" w:hAnsi="Times New Roman" w:cs="Times New Roman"/>
          <w:sz w:val="24"/>
          <w:szCs w:val="24"/>
        </w:rPr>
        <w:t xml:space="preserve">, certain conditions must be present in order to enable competitors to collude. 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First, the market structure </w:t>
      </w:r>
      <w:r w:rsidR="005A78AC">
        <w:rPr>
          <w:rFonts w:ascii="Times New Roman" w:hAnsi="Times New Roman" w:cs="Times New Roman"/>
          <w:sz w:val="24"/>
          <w:szCs w:val="24"/>
        </w:rPr>
        <w:t>must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be sufficiently </w:t>
      </w:r>
      <w:r w:rsidR="005A78AC" w:rsidRPr="00581BEB">
        <w:rPr>
          <w:rFonts w:ascii="Times New Roman" w:hAnsi="Times New Roman" w:cs="Times New Roman"/>
          <w:sz w:val="24"/>
          <w:szCs w:val="24"/>
        </w:rPr>
        <w:t>transparent.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If the market is too</w:t>
      </w:r>
      <w:r>
        <w:rPr>
          <w:rFonts w:ascii="Times New Roman" w:hAnsi="Times New Roman" w:cs="Times New Roman"/>
          <w:sz w:val="24"/>
          <w:szCs w:val="24"/>
        </w:rPr>
        <w:t xml:space="preserve"> opaque or too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dynamic, collusion will </w:t>
      </w:r>
      <w:r w:rsidR="005A78AC">
        <w:rPr>
          <w:rFonts w:ascii="Times New Roman" w:hAnsi="Times New Roman" w:cs="Times New Roman"/>
          <w:sz w:val="24"/>
          <w:szCs w:val="24"/>
        </w:rPr>
        <w:t xml:space="preserve">be </w:t>
      </w:r>
      <w:r w:rsidR="007C5626">
        <w:rPr>
          <w:rFonts w:ascii="Times New Roman" w:hAnsi="Times New Roman" w:cs="Times New Roman"/>
          <w:sz w:val="24"/>
          <w:szCs w:val="24"/>
        </w:rPr>
        <w:t xml:space="preserve">hard or </w:t>
      </w:r>
      <w:r w:rsidR="005A78AC">
        <w:rPr>
          <w:rFonts w:ascii="Times New Roman" w:hAnsi="Times New Roman" w:cs="Times New Roman"/>
          <w:sz w:val="24"/>
          <w:szCs w:val="24"/>
        </w:rPr>
        <w:t>nearly impossible to sustain.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Second, </w:t>
      </w:r>
      <w:r w:rsidR="005A78AC">
        <w:rPr>
          <w:rFonts w:ascii="Times New Roman" w:hAnsi="Times New Roman" w:cs="Times New Roman"/>
          <w:sz w:val="24"/>
          <w:szCs w:val="24"/>
        </w:rPr>
        <w:t xml:space="preserve">the 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firms </w:t>
      </w:r>
      <w:r w:rsidR="005A78AC">
        <w:rPr>
          <w:rFonts w:ascii="Times New Roman" w:hAnsi="Times New Roman" w:cs="Times New Roman"/>
          <w:sz w:val="24"/>
          <w:szCs w:val="24"/>
        </w:rPr>
        <w:t xml:space="preserve">must </w:t>
      </w:r>
      <w:r w:rsidR="005A78AC" w:rsidRPr="002409D9">
        <w:rPr>
          <w:rFonts w:ascii="Times New Roman" w:hAnsi="Times New Roman" w:cs="Times New Roman"/>
          <w:sz w:val="24"/>
          <w:szCs w:val="24"/>
        </w:rPr>
        <w:t>be able to police compliance</w:t>
      </w:r>
      <w:r w:rsidR="005A78AC">
        <w:rPr>
          <w:rFonts w:ascii="Times New Roman" w:hAnsi="Times New Roman" w:cs="Times New Roman"/>
          <w:sz w:val="24"/>
          <w:szCs w:val="24"/>
        </w:rPr>
        <w:t xml:space="preserve"> by </w:t>
      </w:r>
      <w:r w:rsidR="005A78AC" w:rsidRPr="002409D9">
        <w:rPr>
          <w:rFonts w:ascii="Times New Roman" w:hAnsi="Times New Roman" w:cs="Times New Roman"/>
          <w:sz w:val="24"/>
          <w:szCs w:val="24"/>
        </w:rPr>
        <w:t>monitor</w:t>
      </w:r>
      <w:r w:rsidR="005A78AC">
        <w:rPr>
          <w:rFonts w:ascii="Times New Roman" w:hAnsi="Times New Roman" w:cs="Times New Roman"/>
          <w:sz w:val="24"/>
          <w:szCs w:val="24"/>
        </w:rPr>
        <w:t>ing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collusion and punish</w:t>
      </w:r>
      <w:r w:rsidR="005A78AC">
        <w:rPr>
          <w:rFonts w:ascii="Times New Roman" w:hAnsi="Times New Roman" w:cs="Times New Roman"/>
          <w:sz w:val="24"/>
          <w:szCs w:val="24"/>
        </w:rPr>
        <w:t>ing</w:t>
      </w:r>
      <w:r w:rsidR="005A78AC" w:rsidRPr="002409D9">
        <w:rPr>
          <w:rFonts w:ascii="Times New Roman" w:hAnsi="Times New Roman" w:cs="Times New Roman"/>
          <w:sz w:val="24"/>
          <w:szCs w:val="24"/>
        </w:rPr>
        <w:t>/dete</w:t>
      </w:r>
      <w:r w:rsidR="005A78AC">
        <w:rPr>
          <w:rFonts w:ascii="Times New Roman" w:hAnsi="Times New Roman" w:cs="Times New Roman"/>
          <w:sz w:val="24"/>
          <w:szCs w:val="24"/>
        </w:rPr>
        <w:t>r</w:t>
      </w:r>
      <w:r w:rsidR="005A78AC" w:rsidRPr="002409D9">
        <w:rPr>
          <w:rFonts w:ascii="Times New Roman" w:hAnsi="Times New Roman" w:cs="Times New Roman"/>
          <w:sz w:val="24"/>
          <w:szCs w:val="24"/>
        </w:rPr>
        <w:t>r</w:t>
      </w:r>
      <w:r w:rsidR="005A78AC">
        <w:rPr>
          <w:rFonts w:ascii="Times New Roman" w:hAnsi="Times New Roman" w:cs="Times New Roman"/>
          <w:sz w:val="24"/>
          <w:szCs w:val="24"/>
        </w:rPr>
        <w:t>ing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deviations. Lastly, the barriers to entry must be sufficiently high</w:t>
      </w:r>
      <w:r w:rsidR="005A78AC">
        <w:rPr>
          <w:rFonts w:ascii="Times New Roman" w:hAnsi="Times New Roman" w:cs="Times New Roman"/>
          <w:sz w:val="24"/>
          <w:szCs w:val="24"/>
        </w:rPr>
        <w:t>,</w:t>
      </w:r>
      <w:r w:rsidR="005A78AC" w:rsidRPr="002409D9">
        <w:rPr>
          <w:rFonts w:ascii="Times New Roman" w:hAnsi="Times New Roman" w:cs="Times New Roman"/>
          <w:sz w:val="24"/>
          <w:szCs w:val="24"/>
        </w:rPr>
        <w:t xml:space="preserve"> and </w:t>
      </w:r>
      <w:r w:rsidR="005A78AC">
        <w:rPr>
          <w:rFonts w:ascii="Times New Roman" w:hAnsi="Times New Roman" w:cs="Times New Roman"/>
          <w:sz w:val="24"/>
          <w:szCs w:val="24"/>
        </w:rPr>
        <w:t xml:space="preserve">there can be no substitute product or service </w:t>
      </w:r>
      <w:r w:rsidR="00585712">
        <w:rPr>
          <w:rFonts w:ascii="Times New Roman" w:hAnsi="Times New Roman" w:cs="Times New Roman"/>
          <w:sz w:val="24"/>
          <w:szCs w:val="24"/>
        </w:rPr>
        <w:t xml:space="preserve">available </w:t>
      </w:r>
      <w:r w:rsidR="005A78AC">
        <w:rPr>
          <w:rFonts w:ascii="Times New Roman" w:hAnsi="Times New Roman" w:cs="Times New Roman"/>
          <w:sz w:val="24"/>
          <w:szCs w:val="24"/>
        </w:rPr>
        <w:t>that consumers can easily switch to</w:t>
      </w:r>
      <w:r w:rsidR="005A78AC" w:rsidRPr="002409D9">
        <w:rPr>
          <w:rFonts w:ascii="Times New Roman" w:hAnsi="Times New Roman" w:cs="Times New Roman"/>
          <w:sz w:val="24"/>
          <w:szCs w:val="24"/>
        </w:rPr>
        <w:t>.</w:t>
      </w:r>
      <w:r w:rsidR="005A78AC">
        <w:rPr>
          <w:rFonts w:ascii="Times New Roman" w:hAnsi="Times New Roman" w:cs="Times New Roman"/>
          <w:sz w:val="24"/>
          <w:szCs w:val="24"/>
        </w:rPr>
        <w:t xml:space="preserve"> </w:t>
      </w:r>
      <w:r w:rsidR="005A78AC" w:rsidRPr="00581BEB">
        <w:rPr>
          <w:rFonts w:ascii="Times New Roman" w:hAnsi="Times New Roman" w:cs="Times New Roman"/>
          <w:sz w:val="24"/>
          <w:szCs w:val="24"/>
        </w:rPr>
        <w:t xml:space="preserve">Thus, collusion </w:t>
      </w:r>
      <w:r>
        <w:rPr>
          <w:rFonts w:ascii="Times New Roman" w:hAnsi="Times New Roman" w:cs="Times New Roman"/>
          <w:sz w:val="24"/>
          <w:szCs w:val="24"/>
        </w:rPr>
        <w:t>can be</w:t>
      </w:r>
      <w:r w:rsidRPr="00581BEB">
        <w:rPr>
          <w:rFonts w:ascii="Times New Roman" w:hAnsi="Times New Roman" w:cs="Times New Roman"/>
          <w:sz w:val="24"/>
          <w:szCs w:val="24"/>
        </w:rPr>
        <w:t xml:space="preserve"> </w:t>
      </w:r>
      <w:r w:rsidR="005A78AC" w:rsidRPr="00581BEB">
        <w:rPr>
          <w:rFonts w:ascii="Times New Roman" w:hAnsi="Times New Roman" w:cs="Times New Roman"/>
          <w:sz w:val="24"/>
          <w:szCs w:val="24"/>
        </w:rPr>
        <w:t>hard to establish and maintain.</w:t>
      </w:r>
      <w:r w:rsidR="005A78AC">
        <w:rPr>
          <w:rFonts w:ascii="Times New Roman" w:hAnsi="Times New Roman" w:cs="Times New Roman"/>
          <w:sz w:val="24"/>
          <w:szCs w:val="24"/>
        </w:rPr>
        <w:t xml:space="preserve"> In addition, since it is normally unclear </w:t>
      </w:r>
      <w:r w:rsidR="00DA1A8D" w:rsidRPr="002409D9">
        <w:rPr>
          <w:rFonts w:ascii="Times New Roman" w:hAnsi="Times New Roman" w:cs="Times New Roman"/>
          <w:sz w:val="24"/>
          <w:szCs w:val="24"/>
        </w:rPr>
        <w:t>whether information exchanges will benefit or harm competition,</w:t>
      </w:r>
      <w:r w:rsidR="006921A4">
        <w:rPr>
          <w:rFonts w:ascii="Times New Roman" w:hAnsi="Times New Roman" w:cs="Times New Roman"/>
          <w:sz w:val="24"/>
          <w:szCs w:val="24"/>
        </w:rPr>
        <w:t xml:space="preserve"> </w:t>
      </w:r>
      <w:r w:rsidR="002D1FCF">
        <w:rPr>
          <w:rFonts w:ascii="Times New Roman" w:hAnsi="Times New Roman" w:cs="Times New Roman"/>
          <w:sz w:val="24"/>
          <w:szCs w:val="24"/>
        </w:rPr>
        <w:t>it would be appropriate for the ECJ to analyze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="00225441">
        <w:rPr>
          <w:rFonts w:ascii="Times New Roman" w:hAnsi="Times New Roman" w:cs="Times New Roman"/>
          <w:sz w:val="24"/>
          <w:szCs w:val="24"/>
        </w:rPr>
        <w:t>cases involving information exchanges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3C633C">
        <w:rPr>
          <w:rFonts w:ascii="Times New Roman" w:hAnsi="Times New Roman" w:cs="Times New Roman"/>
          <w:sz w:val="24"/>
          <w:szCs w:val="24"/>
        </w:rPr>
        <w:t>”illegal by effect”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approach</w:t>
      </w:r>
      <w:r w:rsidR="005A78AC">
        <w:rPr>
          <w:rFonts w:ascii="Times New Roman" w:hAnsi="Times New Roman" w:cs="Times New Roman"/>
          <w:sz w:val="24"/>
          <w:szCs w:val="24"/>
        </w:rPr>
        <w:t>,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rather tha</w:t>
      </w:r>
      <w:r w:rsidR="00257FEF">
        <w:rPr>
          <w:rFonts w:ascii="Times New Roman" w:hAnsi="Times New Roman" w:cs="Times New Roman"/>
          <w:sz w:val="24"/>
          <w:szCs w:val="24"/>
        </w:rPr>
        <w:t>n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holding </w:t>
      </w:r>
      <w:r w:rsidR="005A78AC">
        <w:rPr>
          <w:rFonts w:ascii="Times New Roman" w:hAnsi="Times New Roman" w:cs="Times New Roman"/>
          <w:sz w:val="24"/>
          <w:szCs w:val="24"/>
        </w:rPr>
        <w:t xml:space="preserve">that information exchanges are </w:t>
      </w:r>
      <w:r w:rsidR="00581BEB">
        <w:rPr>
          <w:rFonts w:ascii="Times New Roman" w:hAnsi="Times New Roman" w:cs="Times New Roman"/>
          <w:sz w:val="24"/>
          <w:szCs w:val="24"/>
        </w:rPr>
        <w:t>“</w:t>
      </w:r>
      <w:r w:rsidR="005A78AC">
        <w:rPr>
          <w:rFonts w:ascii="Times New Roman" w:hAnsi="Times New Roman" w:cs="Times New Roman"/>
          <w:sz w:val="24"/>
          <w:szCs w:val="24"/>
        </w:rPr>
        <w:t>illegal by object</w:t>
      </w:r>
      <w:r w:rsidR="00581BEB">
        <w:rPr>
          <w:rFonts w:ascii="Times New Roman" w:hAnsi="Times New Roman" w:cs="Times New Roman"/>
          <w:sz w:val="24"/>
          <w:szCs w:val="24"/>
        </w:rPr>
        <w:t>”</w:t>
      </w:r>
      <w:r w:rsidR="005A78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ECJ’s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analysis </w:t>
      </w:r>
      <w:r w:rsidR="00581BEB">
        <w:rPr>
          <w:rFonts w:ascii="Times New Roman" w:hAnsi="Times New Roman" w:cs="Times New Roman"/>
          <w:sz w:val="24"/>
          <w:szCs w:val="24"/>
        </w:rPr>
        <w:t>in the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="006F53AB" w:rsidRPr="00EC16CD">
        <w:rPr>
          <w:rFonts w:ascii="Times New Roman" w:hAnsi="Times New Roman" w:cs="Times New Roman"/>
          <w:i/>
          <w:sz w:val="24"/>
          <w:szCs w:val="24"/>
          <w:u w:val="single"/>
        </w:rPr>
        <w:t>T-Mobile</w:t>
      </w:r>
      <w:r w:rsidR="005A78AC">
        <w:rPr>
          <w:rFonts w:ascii="Times New Roman" w:hAnsi="Times New Roman" w:cs="Times New Roman"/>
          <w:sz w:val="24"/>
          <w:szCs w:val="24"/>
        </w:rPr>
        <w:t xml:space="preserve"> decision has</w:t>
      </w:r>
      <w:r>
        <w:rPr>
          <w:rFonts w:ascii="Times New Roman" w:hAnsi="Times New Roman" w:cs="Times New Roman"/>
          <w:sz w:val="24"/>
          <w:szCs w:val="24"/>
        </w:rPr>
        <w:t>, however,</w:t>
      </w:r>
      <w:r w:rsidR="005A78AC">
        <w:rPr>
          <w:rFonts w:ascii="Times New Roman" w:hAnsi="Times New Roman" w:cs="Times New Roman"/>
          <w:sz w:val="24"/>
          <w:szCs w:val="24"/>
        </w:rPr>
        <w:t xml:space="preserve"> 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demonstrated that horizontal exchanges of information are typically considered violations by object. </w:t>
      </w:r>
    </w:p>
    <w:p w:rsidR="00DA1A8D" w:rsidRPr="002409D9" w:rsidRDefault="005A78AC" w:rsidP="00DA1A8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determination that a violation by object has occurred eliminates the need to consider effects on competition. </w:t>
      </w:r>
      <w:r w:rsidR="009219FF">
        <w:rPr>
          <w:rFonts w:ascii="Times New Roman" w:hAnsi="Times New Roman" w:cs="Times New Roman"/>
          <w:sz w:val="24"/>
          <w:szCs w:val="24"/>
        </w:rPr>
        <w:t xml:space="preserve">The </w:t>
      </w:r>
      <w:r w:rsidR="00DA1A8D" w:rsidRPr="002409D9">
        <w:rPr>
          <w:rFonts w:ascii="Times New Roman" w:hAnsi="Times New Roman" w:cs="Times New Roman"/>
          <w:sz w:val="24"/>
          <w:szCs w:val="24"/>
        </w:rPr>
        <w:t>Commission’s Guidelines on Article 101(3) state: “Restrictions of competition by object are those that … have such a high potential of negative effects on competition that it is unnecessary for the purposes of applying Article 81(1)</w:t>
      </w:r>
      <w:r w:rsidR="0096706B">
        <w:rPr>
          <w:rFonts w:ascii="Times New Roman" w:hAnsi="Times New Roman" w:cs="Times New Roman"/>
          <w:sz w:val="24"/>
          <w:szCs w:val="24"/>
        </w:rPr>
        <w:t xml:space="preserve"> [101(1)]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to demonstrate any </w:t>
      </w:r>
      <w:r w:rsidR="00DA1A8D" w:rsidRPr="002409D9">
        <w:rPr>
          <w:rFonts w:ascii="Times New Roman" w:hAnsi="Times New Roman" w:cs="Times New Roman"/>
          <w:sz w:val="24"/>
          <w:szCs w:val="24"/>
        </w:rPr>
        <w:t>actual effects on the market.”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="009219FF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113A5">
        <w:rPr>
          <w:rFonts w:ascii="Times New Roman" w:hAnsi="Times New Roman" w:cs="Times New Roman"/>
          <w:sz w:val="24"/>
          <w:szCs w:val="24"/>
        </w:rPr>
        <w:t>reasoning</w:t>
      </w:r>
      <w:r w:rsidR="001F1C3F">
        <w:rPr>
          <w:rFonts w:ascii="Times New Roman" w:hAnsi="Times New Roman" w:cs="Times New Roman"/>
          <w:sz w:val="24"/>
          <w:szCs w:val="24"/>
        </w:rPr>
        <w:t xml:space="preserve"> has a circular aspect to it</w:t>
      </w:r>
      <w:r w:rsidR="00EC16CD">
        <w:rPr>
          <w:rFonts w:ascii="Times New Roman" w:hAnsi="Times New Roman" w:cs="Times New Roman"/>
          <w:sz w:val="24"/>
          <w:szCs w:val="24"/>
        </w:rPr>
        <w:t xml:space="preserve"> </w:t>
      </w:r>
      <w:r w:rsidR="001F1C3F">
        <w:rPr>
          <w:rFonts w:ascii="Times New Roman" w:hAnsi="Times New Roman" w:cs="Times New Roman"/>
          <w:sz w:val="24"/>
          <w:szCs w:val="24"/>
        </w:rPr>
        <w:t xml:space="preserve">- </w:t>
      </w:r>
      <w:r w:rsidR="00DA1A8D" w:rsidRPr="002409D9">
        <w:rPr>
          <w:rFonts w:ascii="Times New Roman" w:hAnsi="Times New Roman" w:cs="Times New Roman"/>
          <w:sz w:val="24"/>
          <w:szCs w:val="24"/>
        </w:rPr>
        <w:t>in order to avoid having to show effects on competition, one must prove that effects are so self-evident that they do not need to be shown. In circumstances where there is an actual agreement between competitors</w:t>
      </w:r>
      <w:r w:rsidR="001F1C3F">
        <w:rPr>
          <w:rFonts w:ascii="Times New Roman" w:hAnsi="Times New Roman" w:cs="Times New Roman"/>
          <w:sz w:val="24"/>
          <w:szCs w:val="24"/>
        </w:rPr>
        <w:t xml:space="preserve"> that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="006A1AB9">
        <w:rPr>
          <w:rFonts w:ascii="Times New Roman" w:hAnsi="Times New Roman" w:cs="Times New Roman"/>
          <w:sz w:val="24"/>
          <w:szCs w:val="24"/>
        </w:rPr>
        <w:t xml:space="preserve">aims to </w:t>
      </w:r>
      <w:r w:rsidR="00DA1A8D" w:rsidRPr="002409D9">
        <w:rPr>
          <w:rFonts w:ascii="Times New Roman" w:hAnsi="Times New Roman" w:cs="Times New Roman"/>
          <w:sz w:val="24"/>
          <w:szCs w:val="24"/>
        </w:rPr>
        <w:t>restrict output or stabilize price</w:t>
      </w:r>
      <w:r w:rsidR="005113A5">
        <w:rPr>
          <w:rFonts w:ascii="Times New Roman" w:hAnsi="Times New Roman" w:cs="Times New Roman"/>
          <w:sz w:val="24"/>
          <w:szCs w:val="24"/>
        </w:rPr>
        <w:t>s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, </w:t>
      </w:r>
      <w:r w:rsidR="001F1C3F">
        <w:rPr>
          <w:rFonts w:ascii="Times New Roman" w:hAnsi="Times New Roman" w:cs="Times New Roman"/>
          <w:sz w:val="24"/>
          <w:szCs w:val="24"/>
        </w:rPr>
        <w:t xml:space="preserve">the Court’s </w:t>
      </w:r>
      <w:r w:rsidR="00DA1A8D" w:rsidRPr="002409D9">
        <w:rPr>
          <w:rFonts w:ascii="Times New Roman" w:hAnsi="Times New Roman" w:cs="Times New Roman"/>
          <w:sz w:val="24"/>
          <w:szCs w:val="24"/>
        </w:rPr>
        <w:t>reasoning does not create a major practical problem</w:t>
      </w:r>
      <w:r w:rsidR="007C668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. </w:t>
      </w:r>
      <w:r w:rsidR="001F1C3F">
        <w:rPr>
          <w:rFonts w:ascii="Times New Roman" w:hAnsi="Times New Roman" w:cs="Times New Roman"/>
          <w:sz w:val="24"/>
          <w:szCs w:val="24"/>
        </w:rPr>
        <w:t xml:space="preserve">On the other hand, in the context of 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information exchanges, where effects on competition are </w:t>
      </w:r>
      <w:r w:rsidR="006A1AB9">
        <w:rPr>
          <w:rFonts w:ascii="Times New Roman" w:hAnsi="Times New Roman" w:cs="Times New Roman"/>
          <w:sz w:val="24"/>
          <w:szCs w:val="24"/>
        </w:rPr>
        <w:t xml:space="preserve">often 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ambiguous, it raises a difficult question of </w:t>
      </w:r>
      <w:r w:rsidR="00DA1A8D" w:rsidRPr="002409D9">
        <w:rPr>
          <w:rFonts w:ascii="Times New Roman" w:hAnsi="Times New Roman" w:cs="Times New Roman"/>
          <w:sz w:val="24"/>
          <w:szCs w:val="24"/>
        </w:rPr>
        <w:lastRenderedPageBreak/>
        <w:t>det</w:t>
      </w:r>
      <w:r w:rsidR="00581BEB">
        <w:rPr>
          <w:rFonts w:ascii="Times New Roman" w:hAnsi="Times New Roman" w:cs="Times New Roman"/>
          <w:sz w:val="24"/>
          <w:szCs w:val="24"/>
        </w:rPr>
        <w:t xml:space="preserve">ermining </w:t>
      </w:r>
      <w:r w:rsidR="001F1C3F">
        <w:rPr>
          <w:rFonts w:ascii="Times New Roman" w:hAnsi="Times New Roman" w:cs="Times New Roman"/>
          <w:sz w:val="24"/>
          <w:szCs w:val="24"/>
        </w:rPr>
        <w:t xml:space="preserve">whether </w:t>
      </w:r>
      <w:r w:rsidR="00581BEB">
        <w:rPr>
          <w:rFonts w:ascii="Times New Roman" w:hAnsi="Times New Roman" w:cs="Times New Roman"/>
          <w:sz w:val="24"/>
          <w:szCs w:val="24"/>
        </w:rPr>
        <w:t xml:space="preserve">the conduct is </w:t>
      </w:r>
      <w:r w:rsidR="001F1C3F">
        <w:rPr>
          <w:rFonts w:ascii="Times New Roman" w:hAnsi="Times New Roman" w:cs="Times New Roman"/>
          <w:sz w:val="24"/>
          <w:szCs w:val="24"/>
        </w:rPr>
        <w:t xml:space="preserve">in reality </w:t>
      </w:r>
      <w:r w:rsidR="00581BEB">
        <w:rPr>
          <w:rFonts w:ascii="Times New Roman" w:hAnsi="Times New Roman" w:cs="Times New Roman"/>
          <w:sz w:val="24"/>
          <w:szCs w:val="24"/>
        </w:rPr>
        <w:t xml:space="preserve">sufficiently </w:t>
      </w:r>
      <w:r w:rsidR="00DA1A8D" w:rsidRPr="002409D9">
        <w:rPr>
          <w:rFonts w:ascii="Times New Roman" w:hAnsi="Times New Roman" w:cs="Times New Roman"/>
          <w:sz w:val="24"/>
          <w:szCs w:val="24"/>
        </w:rPr>
        <w:t xml:space="preserve">anti-competitive that consideration of effects becomes unwarranted. </w:t>
      </w:r>
    </w:p>
    <w:p w:rsidR="00BB740C" w:rsidRDefault="00DA1A8D" w:rsidP="00DA1A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F53AB" w:rsidRPr="00EC16CD">
        <w:rPr>
          <w:rFonts w:ascii="Times New Roman" w:hAnsi="Times New Roman" w:cs="Times New Roman"/>
          <w:i/>
          <w:sz w:val="24"/>
          <w:szCs w:val="24"/>
          <w:u w:val="single"/>
        </w:rPr>
        <w:t>T-Mobile</w:t>
      </w:r>
      <w:r w:rsidR="004E50F2">
        <w:rPr>
          <w:rFonts w:ascii="Times New Roman" w:hAnsi="Times New Roman" w:cs="Times New Roman"/>
          <w:sz w:val="24"/>
          <w:szCs w:val="24"/>
        </w:rPr>
        <w:t xml:space="preserve"> decision</w:t>
      </w:r>
      <w:r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="006A1AB9">
        <w:rPr>
          <w:rFonts w:ascii="Times New Roman" w:hAnsi="Times New Roman" w:cs="Times New Roman"/>
          <w:sz w:val="24"/>
          <w:szCs w:val="24"/>
        </w:rPr>
        <w:t>establishes</w:t>
      </w:r>
      <w:r w:rsidRPr="002409D9">
        <w:rPr>
          <w:rFonts w:ascii="Times New Roman" w:hAnsi="Times New Roman" w:cs="Times New Roman"/>
          <w:sz w:val="24"/>
          <w:szCs w:val="24"/>
        </w:rPr>
        <w:t xml:space="preserve"> that the object test is satisfied as long as the </w:t>
      </w:r>
      <w:r w:rsidR="00BB740C">
        <w:rPr>
          <w:rFonts w:ascii="Times New Roman" w:hAnsi="Times New Roman" w:cs="Times New Roman"/>
          <w:sz w:val="24"/>
          <w:szCs w:val="24"/>
        </w:rPr>
        <w:t xml:space="preserve">concerted </w:t>
      </w:r>
      <w:r w:rsidRPr="002409D9">
        <w:rPr>
          <w:rFonts w:ascii="Times New Roman" w:hAnsi="Times New Roman" w:cs="Times New Roman"/>
          <w:sz w:val="24"/>
          <w:szCs w:val="24"/>
        </w:rPr>
        <w:t>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9D9">
        <w:rPr>
          <w:rFonts w:ascii="Times New Roman" w:hAnsi="Times New Roman" w:cs="Times New Roman"/>
          <w:sz w:val="24"/>
          <w:szCs w:val="24"/>
        </w:rPr>
        <w:t xml:space="preserve">has the </w:t>
      </w:r>
      <w:r w:rsidRPr="00BB740C">
        <w:rPr>
          <w:rFonts w:ascii="Times New Roman" w:hAnsi="Times New Roman" w:cs="Times New Roman"/>
          <w:b/>
          <w:iCs/>
          <w:sz w:val="24"/>
          <w:szCs w:val="24"/>
        </w:rPr>
        <w:t>potential</w:t>
      </w:r>
      <w:r w:rsidRPr="00240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1C3F">
        <w:rPr>
          <w:rFonts w:ascii="Times New Roman" w:hAnsi="Times New Roman" w:cs="Times New Roman"/>
          <w:sz w:val="24"/>
          <w:szCs w:val="24"/>
        </w:rPr>
        <w:t>to have</w:t>
      </w:r>
      <w:r w:rsidR="001F1C3F" w:rsidRPr="002409D9">
        <w:rPr>
          <w:rFonts w:ascii="Times New Roman" w:hAnsi="Times New Roman" w:cs="Times New Roman"/>
          <w:sz w:val="24"/>
          <w:szCs w:val="24"/>
        </w:rPr>
        <w:t xml:space="preserve"> </w:t>
      </w:r>
      <w:r w:rsidRPr="002409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negative effect on competition. Thus, since information exchanges reduce uncertainty</w:t>
      </w:r>
      <w:r w:rsidR="00476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such practices are violations </w:t>
      </w:r>
      <w:r w:rsidRPr="006A1AB9">
        <w:rPr>
          <w:rFonts w:ascii="Times New Roman" w:hAnsi="Times New Roman" w:cs="Times New Roman"/>
          <w:sz w:val="24"/>
          <w:szCs w:val="24"/>
          <w:u w:val="single"/>
        </w:rPr>
        <w:t>by object</w:t>
      </w:r>
      <w:r w:rsidR="00BB740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 But a</w:t>
      </w:r>
      <w:r w:rsidRPr="002409D9">
        <w:rPr>
          <w:rFonts w:ascii="Times New Roman" w:hAnsi="Times New Roman" w:cs="Times New Roman"/>
          <w:sz w:val="24"/>
          <w:szCs w:val="24"/>
        </w:rPr>
        <w:t xml:space="preserve">ny </w:t>
      </w:r>
      <w:r w:rsidR="006A1AB9">
        <w:rPr>
          <w:rFonts w:ascii="Times New Roman" w:hAnsi="Times New Roman" w:cs="Times New Roman"/>
          <w:sz w:val="24"/>
          <w:szCs w:val="24"/>
        </w:rPr>
        <w:t>practice</w:t>
      </w:r>
      <w:r w:rsidRPr="002409D9">
        <w:rPr>
          <w:rFonts w:ascii="Times New Roman" w:hAnsi="Times New Roman" w:cs="Times New Roman"/>
          <w:sz w:val="24"/>
          <w:szCs w:val="24"/>
        </w:rPr>
        <w:t xml:space="preserve"> that generates information will,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9D9">
        <w:rPr>
          <w:rFonts w:ascii="Times New Roman" w:hAnsi="Times New Roman" w:cs="Times New Roman"/>
          <w:sz w:val="24"/>
          <w:szCs w:val="24"/>
        </w:rPr>
        <w:t xml:space="preserve">by definition, </w:t>
      </w:r>
      <w:r>
        <w:rPr>
          <w:rFonts w:ascii="Times New Roman" w:hAnsi="Times New Roman" w:cs="Times New Roman"/>
          <w:iCs/>
          <w:sz w:val="24"/>
          <w:szCs w:val="24"/>
        </w:rPr>
        <w:t xml:space="preserve">reduce the uncertainty. The main question should be not whether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409D9">
        <w:rPr>
          <w:rFonts w:ascii="Times New Roman" w:hAnsi="Times New Roman" w:cs="Times New Roman"/>
          <w:sz w:val="24"/>
          <w:szCs w:val="24"/>
        </w:rPr>
        <w:t xml:space="preserve"> exchange reduces uncertainty, but whether it</w:t>
      </w:r>
      <w:r>
        <w:rPr>
          <w:rFonts w:ascii="Times New Roman" w:hAnsi="Times New Roman" w:cs="Times New Roman"/>
          <w:sz w:val="24"/>
          <w:szCs w:val="24"/>
        </w:rPr>
        <w:t xml:space="preserve"> allows the participants of exchange </w:t>
      </w:r>
      <w:r w:rsidRPr="002409D9">
        <w:rPr>
          <w:rFonts w:ascii="Times New Roman" w:hAnsi="Times New Roman" w:cs="Times New Roman"/>
          <w:sz w:val="24"/>
          <w:szCs w:val="24"/>
        </w:rPr>
        <w:t>to influence prices</w:t>
      </w:r>
      <w:r w:rsidR="00225441">
        <w:rPr>
          <w:rFonts w:ascii="Times New Roman" w:hAnsi="Times New Roman" w:cs="Times New Roman"/>
          <w:sz w:val="24"/>
          <w:szCs w:val="24"/>
        </w:rPr>
        <w:t>, and competition in general,</w:t>
      </w:r>
      <w:r w:rsidRPr="002409D9">
        <w:rPr>
          <w:rFonts w:ascii="Times New Roman" w:hAnsi="Times New Roman" w:cs="Times New Roman"/>
          <w:sz w:val="24"/>
          <w:szCs w:val="24"/>
        </w:rPr>
        <w:t xml:space="preserve"> adversel</w:t>
      </w:r>
      <w:r w:rsidR="003C633C">
        <w:rPr>
          <w:rFonts w:ascii="Times New Roman" w:hAnsi="Times New Roman" w:cs="Times New Roman"/>
          <w:sz w:val="24"/>
          <w:szCs w:val="24"/>
        </w:rPr>
        <w:t>y</w:t>
      </w:r>
      <w:r w:rsidR="00BB7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A8D" w:rsidRPr="002409D9" w:rsidRDefault="00DA1A8D" w:rsidP="00BB74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9D9">
        <w:rPr>
          <w:rFonts w:ascii="Times New Roman" w:hAnsi="Times New Roman" w:cs="Times New Roman"/>
          <w:sz w:val="24"/>
          <w:szCs w:val="24"/>
        </w:rPr>
        <w:t xml:space="preserve">Information exchanges cover </w:t>
      </w:r>
      <w:r>
        <w:rPr>
          <w:rFonts w:ascii="Times New Roman" w:hAnsi="Times New Roman" w:cs="Times New Roman"/>
          <w:sz w:val="24"/>
          <w:szCs w:val="24"/>
        </w:rPr>
        <w:t xml:space="preserve">an enormous spectrum of conduct and their effects are </w:t>
      </w:r>
      <w:r w:rsidR="001F1C3F">
        <w:rPr>
          <w:rFonts w:ascii="Times New Roman" w:hAnsi="Times New Roman" w:cs="Times New Roman"/>
          <w:sz w:val="24"/>
          <w:szCs w:val="24"/>
        </w:rPr>
        <w:t xml:space="preserve">arguably </w:t>
      </w:r>
      <w:r>
        <w:rPr>
          <w:rFonts w:ascii="Times New Roman" w:hAnsi="Times New Roman" w:cs="Times New Roman"/>
          <w:sz w:val="24"/>
          <w:szCs w:val="24"/>
        </w:rPr>
        <w:t xml:space="preserve">too uncertain and too dependent on </w:t>
      </w:r>
      <w:r w:rsidR="0047686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economic context and circumstances of each particular case</w:t>
      </w:r>
      <w:r w:rsidR="001F1C3F">
        <w:rPr>
          <w:rFonts w:ascii="Times New Roman" w:hAnsi="Times New Roman" w:cs="Times New Roman"/>
          <w:sz w:val="24"/>
          <w:szCs w:val="24"/>
        </w:rPr>
        <w:t xml:space="preserve"> to be subject to what amounts to per se unlawfulness under Article 101(1)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1C3F">
        <w:rPr>
          <w:rFonts w:ascii="Times New Roman" w:hAnsi="Times New Roman" w:cs="Times New Roman"/>
          <w:sz w:val="24"/>
          <w:szCs w:val="24"/>
        </w:rPr>
        <w:t xml:space="preserve">Instead, it seems the sounder conclusion to view the Treaty as requiring </w:t>
      </w:r>
      <w:bookmarkStart w:id="0" w:name="_GoBack"/>
      <w:bookmarkEnd w:id="0"/>
      <w:r w:rsidR="007C6680">
        <w:rPr>
          <w:rFonts w:ascii="Times New Roman" w:hAnsi="Times New Roman" w:cs="Times New Roman"/>
          <w:sz w:val="24"/>
          <w:szCs w:val="24"/>
        </w:rPr>
        <w:t xml:space="preserve">sufficient evidence in order to justify </w:t>
      </w:r>
      <w:r>
        <w:rPr>
          <w:rFonts w:ascii="Times New Roman" w:hAnsi="Times New Roman" w:cs="Times New Roman"/>
          <w:sz w:val="24"/>
          <w:szCs w:val="24"/>
        </w:rPr>
        <w:t>placing exchanges of</w:t>
      </w:r>
      <w:r w:rsidR="00BB740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nformation in the same line of</w:t>
      </w:r>
      <w:r w:rsidR="00BB740C">
        <w:rPr>
          <w:rFonts w:ascii="Times New Roman" w:hAnsi="Times New Roman" w:cs="Times New Roman"/>
          <w:sz w:val="24"/>
          <w:szCs w:val="24"/>
        </w:rPr>
        <w:t xml:space="preserve"> cases as full scale horizontal</w:t>
      </w:r>
      <w:r w:rsidR="00D812A2">
        <w:rPr>
          <w:rFonts w:ascii="Times New Roman" w:hAnsi="Times New Roman" w:cs="Times New Roman"/>
          <w:sz w:val="24"/>
          <w:szCs w:val="24"/>
        </w:rPr>
        <w:t xml:space="preserve"> price fixing agreements</w:t>
      </w:r>
      <w:r w:rsidR="00225441">
        <w:rPr>
          <w:rFonts w:ascii="Times New Roman" w:hAnsi="Times New Roman" w:cs="Times New Roman"/>
          <w:sz w:val="24"/>
          <w:szCs w:val="24"/>
        </w:rPr>
        <w:t>.</w:t>
      </w:r>
    </w:p>
    <w:p w:rsidR="00420075" w:rsidRPr="002409D9" w:rsidRDefault="00420075" w:rsidP="002409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0075" w:rsidRPr="002409D9" w:rsidSect="00C8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8" w:rsidRDefault="00B64128" w:rsidP="00BB75C3">
      <w:pPr>
        <w:spacing w:after="0" w:line="240" w:lineRule="auto"/>
      </w:pPr>
      <w:r>
        <w:separator/>
      </w:r>
    </w:p>
  </w:endnote>
  <w:endnote w:type="continuationSeparator" w:id="0">
    <w:p w:rsidR="00B64128" w:rsidRDefault="00B64128" w:rsidP="00BB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8" w:rsidRDefault="00B64128" w:rsidP="00BB75C3">
      <w:pPr>
        <w:spacing w:after="0" w:line="240" w:lineRule="auto"/>
      </w:pPr>
      <w:r>
        <w:separator/>
      </w:r>
    </w:p>
  </w:footnote>
  <w:footnote w:type="continuationSeparator" w:id="0">
    <w:p w:rsidR="00B64128" w:rsidRDefault="00B64128" w:rsidP="00BB75C3">
      <w:pPr>
        <w:spacing w:after="0" w:line="240" w:lineRule="auto"/>
      </w:pPr>
      <w:r>
        <w:continuationSeparator/>
      </w:r>
    </w:p>
  </w:footnote>
  <w:footnote w:id="1">
    <w:p w:rsidR="001F1C3F" w:rsidRDefault="001F1C3F">
      <w:pPr>
        <w:pStyle w:val="FootnoteText"/>
      </w:pPr>
      <w:r>
        <w:rPr>
          <w:rStyle w:val="FootnoteReference"/>
        </w:rPr>
        <w:footnoteRef/>
      </w:r>
      <w:r>
        <w:t xml:space="preserve"> I would rather link it to the paragraph in the guidelines than provide citation ( paragraph 55) </w:t>
      </w:r>
      <w:hyperlink r:id="rId1" w:history="1">
        <w:r w:rsidRPr="00EB1A9B">
          <w:rPr>
            <w:rStyle w:val="Hyperlink"/>
          </w:rPr>
          <w:t>http://ec.europa.eu/competition/consultations/2010_horizontals/guidelines_en.pdf</w:t>
        </w:r>
      </w:hyperlink>
    </w:p>
    <w:p w:rsidR="001F1C3F" w:rsidRDefault="001F1C3F">
      <w:pPr>
        <w:pStyle w:val="FootnoteText"/>
      </w:pPr>
    </w:p>
  </w:footnote>
  <w:footnote w:id="2">
    <w:p w:rsidR="001F1C3F" w:rsidRDefault="001F1C3F">
      <w:pPr>
        <w:pStyle w:val="FootnoteText"/>
      </w:pPr>
      <w:r>
        <w:rPr>
          <w:rStyle w:val="FootnoteReference"/>
        </w:rPr>
        <w:footnoteRef/>
      </w:r>
      <w:r>
        <w:t xml:space="preserve"> Same source, paragraph 58</w:t>
      </w:r>
    </w:p>
  </w:footnote>
  <w:footnote w:id="3">
    <w:p w:rsidR="001F1C3F" w:rsidRPr="007C5626" w:rsidRDefault="001F1C3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7C5626">
        <w:rPr>
          <w:rFonts w:ascii="Times New Roman" w:hAnsi="Times New Roman" w:cs="Times New Roman"/>
          <w:i/>
        </w:rPr>
        <w:t xml:space="preserve">Commission Notice – Guidelines on the Application of Article 81(3) of the Treaty, </w:t>
      </w:r>
      <w:r w:rsidRPr="007C5626">
        <w:rPr>
          <w:rFonts w:ascii="Times New Roman" w:hAnsi="Times New Roman" w:cs="Times New Roman"/>
        </w:rPr>
        <w:t xml:space="preserve">OJ [2004] C 101/97, </w:t>
      </w:r>
      <w:proofErr w:type="spellStart"/>
      <w:r w:rsidRPr="007C5626">
        <w:rPr>
          <w:rFonts w:ascii="Times New Roman" w:hAnsi="Times New Roman" w:cs="Times New Roman"/>
        </w:rPr>
        <w:t>para</w:t>
      </w:r>
      <w:proofErr w:type="spellEnd"/>
      <w:r w:rsidRPr="007C5626">
        <w:rPr>
          <w:rFonts w:ascii="Times New Roman" w:hAnsi="Times New Roman" w:cs="Times New Roman"/>
        </w:rPr>
        <w:t>. 21</w:t>
      </w:r>
    </w:p>
  </w:footnote>
  <w:footnote w:id="4">
    <w:p w:rsidR="001F1C3F" w:rsidRDefault="001F1C3F">
      <w:pPr>
        <w:pStyle w:val="FootnoteText"/>
      </w:pPr>
      <w:r>
        <w:rPr>
          <w:rStyle w:val="FootnoteReference"/>
        </w:rPr>
        <w:footnoteRef/>
      </w:r>
      <w:r>
        <w:t xml:space="preserve"> Link to the Beef case analysis</w:t>
      </w:r>
    </w:p>
  </w:footnote>
  <w:footnote w:id="5">
    <w:p w:rsidR="001F1C3F" w:rsidRDefault="001F1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2456">
        <w:rPr>
          <w:rFonts w:ascii="Times New Roman" w:hAnsi="Times New Roman" w:cs="Times New Roman"/>
        </w:rPr>
        <w:t xml:space="preserve">[rather that a citation I would link it to the </w:t>
      </w:r>
      <w:proofErr w:type="spellStart"/>
      <w:r w:rsidRPr="00892456">
        <w:rPr>
          <w:rFonts w:ascii="Times New Roman" w:hAnsi="Times New Roman" w:cs="Times New Roman"/>
        </w:rPr>
        <w:t>Kokott’s</w:t>
      </w:r>
      <w:proofErr w:type="spellEnd"/>
      <w:r w:rsidRPr="00892456">
        <w:rPr>
          <w:rFonts w:ascii="Times New Roman" w:hAnsi="Times New Roman" w:cs="Times New Roman"/>
        </w:rPr>
        <w:t xml:space="preserve"> opinion in </w:t>
      </w:r>
      <w:proofErr w:type="spellStart"/>
      <w:r w:rsidRPr="00892456">
        <w:rPr>
          <w:rFonts w:ascii="Times New Roman" w:hAnsi="Times New Roman" w:cs="Times New Roman"/>
        </w:rPr>
        <w:t>para</w:t>
      </w:r>
      <w:proofErr w:type="spellEnd"/>
      <w:r w:rsidRPr="00892456">
        <w:rPr>
          <w:rFonts w:ascii="Times New Roman" w:hAnsi="Times New Roman" w:cs="Times New Roman"/>
        </w:rPr>
        <w:t>. 51 and 54 where she talks about information exchanges reducing uncertainty]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ADB"/>
    <w:rsid w:val="00014A3D"/>
    <w:rsid w:val="000A01A7"/>
    <w:rsid w:val="000F3D38"/>
    <w:rsid w:val="000F7D63"/>
    <w:rsid w:val="00111F70"/>
    <w:rsid w:val="00143BEE"/>
    <w:rsid w:val="001A4069"/>
    <w:rsid w:val="001F1C3F"/>
    <w:rsid w:val="001F2D89"/>
    <w:rsid w:val="001F6FD7"/>
    <w:rsid w:val="00201A93"/>
    <w:rsid w:val="002047F2"/>
    <w:rsid w:val="00212EAE"/>
    <w:rsid w:val="00225441"/>
    <w:rsid w:val="002409D9"/>
    <w:rsid w:val="00257FEF"/>
    <w:rsid w:val="002D1FCF"/>
    <w:rsid w:val="003465EA"/>
    <w:rsid w:val="003C633C"/>
    <w:rsid w:val="003E2823"/>
    <w:rsid w:val="00420075"/>
    <w:rsid w:val="00476865"/>
    <w:rsid w:val="004C39F9"/>
    <w:rsid w:val="004D523A"/>
    <w:rsid w:val="004E50F2"/>
    <w:rsid w:val="005113A5"/>
    <w:rsid w:val="00531ADB"/>
    <w:rsid w:val="00577CB5"/>
    <w:rsid w:val="00581BEB"/>
    <w:rsid w:val="00585712"/>
    <w:rsid w:val="00596916"/>
    <w:rsid w:val="005A78AC"/>
    <w:rsid w:val="0066097E"/>
    <w:rsid w:val="006921A4"/>
    <w:rsid w:val="006A1AB9"/>
    <w:rsid w:val="006A5501"/>
    <w:rsid w:val="006C023E"/>
    <w:rsid w:val="006F53AB"/>
    <w:rsid w:val="007161F6"/>
    <w:rsid w:val="00751DED"/>
    <w:rsid w:val="00786DE7"/>
    <w:rsid w:val="007A40B2"/>
    <w:rsid w:val="007C5626"/>
    <w:rsid w:val="007C6680"/>
    <w:rsid w:val="007D2812"/>
    <w:rsid w:val="00803CBF"/>
    <w:rsid w:val="00841A67"/>
    <w:rsid w:val="008733A4"/>
    <w:rsid w:val="00892456"/>
    <w:rsid w:val="008D5128"/>
    <w:rsid w:val="008E0635"/>
    <w:rsid w:val="008F27CF"/>
    <w:rsid w:val="009219FF"/>
    <w:rsid w:val="0096706B"/>
    <w:rsid w:val="00AC5395"/>
    <w:rsid w:val="00B00226"/>
    <w:rsid w:val="00B37BC9"/>
    <w:rsid w:val="00B64128"/>
    <w:rsid w:val="00BB0A16"/>
    <w:rsid w:val="00BB740C"/>
    <w:rsid w:val="00BB75C3"/>
    <w:rsid w:val="00BC758D"/>
    <w:rsid w:val="00C86DDC"/>
    <w:rsid w:val="00D346B2"/>
    <w:rsid w:val="00D76C41"/>
    <w:rsid w:val="00D812A2"/>
    <w:rsid w:val="00DA1A8D"/>
    <w:rsid w:val="00DB59FA"/>
    <w:rsid w:val="00E272B6"/>
    <w:rsid w:val="00EC16CD"/>
    <w:rsid w:val="00F5012F"/>
    <w:rsid w:val="00FB660D"/>
    <w:rsid w:val="00F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4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C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C4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C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C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9F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B75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5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5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0C"/>
  </w:style>
  <w:style w:type="paragraph" w:styleId="Footer">
    <w:name w:val="footer"/>
    <w:basedOn w:val="Normal"/>
    <w:link w:val="FooterChar"/>
    <w:uiPriority w:val="99"/>
    <w:unhideWhenUsed/>
    <w:rsid w:val="00BB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0C"/>
  </w:style>
  <w:style w:type="paragraph" w:styleId="EndnoteText">
    <w:name w:val="endnote text"/>
    <w:basedOn w:val="Normal"/>
    <w:link w:val="EndnoteTextChar"/>
    <w:uiPriority w:val="99"/>
    <w:semiHidden/>
    <w:unhideWhenUsed/>
    <w:rsid w:val="006609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9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9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09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4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C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C4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C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C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9F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B75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5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5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0C"/>
  </w:style>
  <w:style w:type="paragraph" w:styleId="Footer">
    <w:name w:val="footer"/>
    <w:basedOn w:val="Normal"/>
    <w:link w:val="FooterChar"/>
    <w:uiPriority w:val="99"/>
    <w:unhideWhenUsed/>
    <w:rsid w:val="00BB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0C"/>
  </w:style>
  <w:style w:type="paragraph" w:styleId="EndnoteText">
    <w:name w:val="endnote text"/>
    <w:basedOn w:val="Normal"/>
    <w:link w:val="EndnoteTextChar"/>
    <w:uiPriority w:val="99"/>
    <w:semiHidden/>
    <w:unhideWhenUsed/>
    <w:rsid w:val="006609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9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9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09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competition/consultations/2010_horizontals/guideline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D12E-73C3-4F6F-BDC1-542F968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4068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Acer</cp:lastModifiedBy>
  <cp:revision>3</cp:revision>
  <cp:lastPrinted>2012-02-22T19:03:00Z</cp:lastPrinted>
  <dcterms:created xsi:type="dcterms:W3CDTF">2012-03-30T16:20:00Z</dcterms:created>
  <dcterms:modified xsi:type="dcterms:W3CDTF">2012-03-30T16:21:00Z</dcterms:modified>
</cp:coreProperties>
</file>