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E8210" w14:textId="3F5843BD" w:rsidR="00B21A98" w:rsidRDefault="0045464D" w:rsidP="00322037">
      <w:pPr>
        <w:spacing w:line="480" w:lineRule="auto"/>
        <w:jc w:val="center"/>
        <w:rPr>
          <w:rFonts w:ascii="Times New Roman" w:hAnsi="Times New Roman" w:cs="Times New Roman"/>
          <w:b/>
          <w:u w:val="single"/>
        </w:rPr>
      </w:pPr>
      <w:r w:rsidRPr="0012395A">
        <w:rPr>
          <w:rFonts w:ascii="Times New Roman" w:hAnsi="Times New Roman" w:cs="Times New Roman"/>
          <w:b/>
          <w:i/>
          <w:u w:val="single"/>
        </w:rPr>
        <w:t xml:space="preserve">Per se </w:t>
      </w:r>
      <w:r w:rsidRPr="0012395A">
        <w:rPr>
          <w:rFonts w:ascii="Times New Roman" w:hAnsi="Times New Roman" w:cs="Times New Roman"/>
          <w:b/>
          <w:u w:val="single"/>
        </w:rPr>
        <w:t>Rules i</w:t>
      </w:r>
      <w:r w:rsidR="00830F13" w:rsidRPr="0012395A">
        <w:rPr>
          <w:rFonts w:ascii="Times New Roman" w:hAnsi="Times New Roman" w:cs="Times New Roman"/>
          <w:b/>
          <w:u w:val="single"/>
        </w:rPr>
        <w:t>n</w:t>
      </w:r>
      <w:r w:rsidRPr="0012395A">
        <w:rPr>
          <w:rFonts w:ascii="Times New Roman" w:hAnsi="Times New Roman" w:cs="Times New Roman"/>
          <w:b/>
          <w:u w:val="single"/>
        </w:rPr>
        <w:t xml:space="preserve"> </w:t>
      </w:r>
      <w:r w:rsidR="00691782">
        <w:rPr>
          <w:rFonts w:ascii="Times New Roman" w:hAnsi="Times New Roman" w:cs="Times New Roman"/>
          <w:b/>
          <w:u w:val="single"/>
        </w:rPr>
        <w:t>U.S. and EU</w:t>
      </w:r>
      <w:r w:rsidRPr="0012395A">
        <w:rPr>
          <w:rFonts w:ascii="Times New Roman" w:hAnsi="Times New Roman" w:cs="Times New Roman"/>
          <w:b/>
          <w:u w:val="single"/>
        </w:rPr>
        <w:t xml:space="preserve"> Antitrust/Competition Law</w:t>
      </w:r>
    </w:p>
    <w:p w14:paraId="3ADF09EB" w14:textId="041ECFF7" w:rsidR="00F4063B" w:rsidRPr="0007300D" w:rsidRDefault="0007300D" w:rsidP="00322037">
      <w:pPr>
        <w:spacing w:line="480" w:lineRule="auto"/>
        <w:jc w:val="center"/>
        <w:rPr>
          <w:rFonts w:ascii="Times New Roman" w:hAnsi="Times New Roman" w:cs="Times New Roman"/>
        </w:rPr>
      </w:pPr>
      <w:r w:rsidRPr="0007300D">
        <w:rPr>
          <w:rFonts w:ascii="Times New Roman" w:hAnsi="Times New Roman" w:cs="Times New Roman"/>
        </w:rPr>
        <w:t>Caleb Vesey</w:t>
      </w:r>
    </w:p>
    <w:p w14:paraId="61462572" w14:textId="058476EF" w:rsidR="009D6702" w:rsidRPr="0012395A" w:rsidRDefault="00830F13" w:rsidP="00864B96">
      <w:pPr>
        <w:spacing w:line="480" w:lineRule="auto"/>
        <w:rPr>
          <w:rFonts w:ascii="Times New Roman" w:hAnsi="Times New Roman" w:cs="Times New Roman"/>
          <w:b/>
        </w:rPr>
      </w:pPr>
      <w:r w:rsidRPr="0012395A">
        <w:rPr>
          <w:rFonts w:ascii="Times New Roman" w:hAnsi="Times New Roman" w:cs="Times New Roman"/>
          <w:b/>
          <w:i/>
        </w:rPr>
        <w:t>P</w:t>
      </w:r>
      <w:r w:rsidR="009D6702" w:rsidRPr="0012395A">
        <w:rPr>
          <w:rFonts w:ascii="Times New Roman" w:hAnsi="Times New Roman" w:cs="Times New Roman"/>
          <w:b/>
          <w:i/>
        </w:rPr>
        <w:t>er se</w:t>
      </w:r>
      <w:r w:rsidR="009D6702" w:rsidRPr="0012395A">
        <w:rPr>
          <w:rFonts w:ascii="Times New Roman" w:hAnsi="Times New Roman" w:cs="Times New Roman"/>
          <w:b/>
        </w:rPr>
        <w:t xml:space="preserve"> rules</w:t>
      </w:r>
      <w:r w:rsidRPr="0012395A">
        <w:rPr>
          <w:rFonts w:ascii="Times New Roman" w:hAnsi="Times New Roman" w:cs="Times New Roman"/>
          <w:b/>
        </w:rPr>
        <w:t xml:space="preserve"> in the U.S.</w:t>
      </w:r>
    </w:p>
    <w:p w14:paraId="5C418C9E" w14:textId="75C88BCD" w:rsidR="00F220A4" w:rsidRPr="0012395A" w:rsidRDefault="008633EE" w:rsidP="00864B96">
      <w:pPr>
        <w:spacing w:line="480" w:lineRule="auto"/>
        <w:ind w:firstLine="720"/>
        <w:rPr>
          <w:rFonts w:ascii="Times New Roman" w:hAnsi="Times New Roman" w:cs="Times New Roman"/>
        </w:rPr>
      </w:pPr>
      <w:r w:rsidRPr="0012395A">
        <w:rPr>
          <w:rFonts w:ascii="Times New Roman" w:hAnsi="Times New Roman" w:cs="Times New Roman"/>
        </w:rPr>
        <w:t xml:space="preserve">The </w:t>
      </w:r>
      <w:r w:rsidRPr="0012395A">
        <w:rPr>
          <w:rFonts w:ascii="Times New Roman" w:hAnsi="Times New Roman" w:cs="Times New Roman"/>
          <w:i/>
        </w:rPr>
        <w:t>per se</w:t>
      </w:r>
      <w:r w:rsidRPr="0012395A">
        <w:rPr>
          <w:rFonts w:ascii="Times New Roman" w:hAnsi="Times New Roman" w:cs="Times New Roman"/>
        </w:rPr>
        <w:t xml:space="preserve"> rules found in U</w:t>
      </w:r>
      <w:r w:rsidR="003E0C96">
        <w:rPr>
          <w:rFonts w:ascii="Times New Roman" w:hAnsi="Times New Roman" w:cs="Times New Roman"/>
        </w:rPr>
        <w:t>.</w:t>
      </w:r>
      <w:r w:rsidRPr="0012395A">
        <w:rPr>
          <w:rFonts w:ascii="Times New Roman" w:hAnsi="Times New Roman" w:cs="Times New Roman"/>
        </w:rPr>
        <w:t>S</w:t>
      </w:r>
      <w:r w:rsidR="003E0C96">
        <w:rPr>
          <w:rFonts w:ascii="Times New Roman" w:hAnsi="Times New Roman" w:cs="Times New Roman"/>
        </w:rPr>
        <w:t>.</w:t>
      </w:r>
      <w:r w:rsidRPr="0012395A">
        <w:rPr>
          <w:rFonts w:ascii="Times New Roman" w:hAnsi="Times New Roman" w:cs="Times New Roman"/>
        </w:rPr>
        <w:t xml:space="preserve"> antitrust jurisprudence </w:t>
      </w:r>
      <w:r w:rsidR="00A23A30" w:rsidRPr="0012395A">
        <w:rPr>
          <w:rFonts w:ascii="Times New Roman" w:hAnsi="Times New Roman" w:cs="Times New Roman"/>
        </w:rPr>
        <w:t xml:space="preserve">grew </w:t>
      </w:r>
      <w:r w:rsidR="00163B77" w:rsidRPr="0012395A">
        <w:rPr>
          <w:rFonts w:ascii="Times New Roman" w:hAnsi="Times New Roman" w:cs="Times New Roman"/>
        </w:rPr>
        <w:t xml:space="preserve">out of </w:t>
      </w:r>
      <w:r w:rsidR="00306D22" w:rsidRPr="0012395A">
        <w:rPr>
          <w:rFonts w:ascii="Times New Roman" w:hAnsi="Times New Roman" w:cs="Times New Roman"/>
        </w:rPr>
        <w:t>a</w:t>
      </w:r>
      <w:r w:rsidR="006E53FE" w:rsidRPr="0012395A">
        <w:rPr>
          <w:rFonts w:ascii="Times New Roman" w:hAnsi="Times New Roman" w:cs="Times New Roman"/>
        </w:rPr>
        <w:t xml:space="preserve"> perceived</w:t>
      </w:r>
      <w:r w:rsidR="00306D22" w:rsidRPr="0012395A">
        <w:rPr>
          <w:rFonts w:ascii="Times New Roman" w:hAnsi="Times New Roman" w:cs="Times New Roman"/>
        </w:rPr>
        <w:t xml:space="preserve"> need for efficient</w:t>
      </w:r>
      <w:r w:rsidRPr="0012395A">
        <w:rPr>
          <w:rFonts w:ascii="Times New Roman" w:hAnsi="Times New Roman" w:cs="Times New Roman"/>
        </w:rPr>
        <w:t xml:space="preserve"> </w:t>
      </w:r>
      <w:r w:rsidR="00306D22" w:rsidRPr="0012395A">
        <w:rPr>
          <w:rFonts w:ascii="Times New Roman" w:hAnsi="Times New Roman" w:cs="Times New Roman"/>
        </w:rPr>
        <w:t xml:space="preserve">enforcement of Section 1 of the </w:t>
      </w:r>
      <w:r w:rsidRPr="0012395A">
        <w:rPr>
          <w:rFonts w:ascii="Times New Roman" w:hAnsi="Times New Roman" w:cs="Times New Roman"/>
        </w:rPr>
        <w:t>Sherman Act</w:t>
      </w:r>
      <w:r w:rsidR="00306D22" w:rsidRPr="0012395A">
        <w:rPr>
          <w:rFonts w:ascii="Times New Roman" w:hAnsi="Times New Roman" w:cs="Times New Roman"/>
        </w:rPr>
        <w:t>, which prohibits “[e]very contract, combination in the form of trust or otherwise, or conspiracy, in</w:t>
      </w:r>
      <w:r w:rsidR="00107B8A" w:rsidRPr="0012395A">
        <w:rPr>
          <w:rFonts w:ascii="Times New Roman" w:hAnsi="Times New Roman" w:cs="Times New Roman"/>
        </w:rPr>
        <w:t xml:space="preserve"> restr</w:t>
      </w:r>
      <w:r w:rsidR="00686BC9">
        <w:rPr>
          <w:rFonts w:ascii="Times New Roman" w:hAnsi="Times New Roman" w:cs="Times New Roman"/>
        </w:rPr>
        <w:t>aint of trade or commerce</w:t>
      </w:r>
      <w:r w:rsidR="00107B8A" w:rsidRPr="0012395A">
        <w:rPr>
          <w:rFonts w:ascii="Times New Roman" w:hAnsi="Times New Roman" w:cs="Times New Roman"/>
        </w:rPr>
        <w:t>.</w:t>
      </w:r>
      <w:r w:rsidR="00306D22" w:rsidRPr="0012395A">
        <w:rPr>
          <w:rFonts w:ascii="Times New Roman" w:hAnsi="Times New Roman" w:cs="Times New Roman"/>
        </w:rPr>
        <w:t>”</w:t>
      </w:r>
      <w:r w:rsidR="00306D22" w:rsidRPr="0012395A">
        <w:rPr>
          <w:rStyle w:val="EndnoteReference"/>
          <w:rFonts w:ascii="Times New Roman" w:hAnsi="Times New Roman" w:cs="Times New Roman"/>
        </w:rPr>
        <w:endnoteReference w:id="1"/>
      </w:r>
      <w:r w:rsidR="00306D22" w:rsidRPr="0012395A">
        <w:rPr>
          <w:rFonts w:ascii="Times New Roman" w:hAnsi="Times New Roman" w:cs="Times New Roman"/>
        </w:rPr>
        <w:t xml:space="preserve"> </w:t>
      </w:r>
      <w:r w:rsidR="00827ADF" w:rsidRPr="0012395A">
        <w:rPr>
          <w:rFonts w:ascii="Times New Roman" w:hAnsi="Times New Roman" w:cs="Times New Roman"/>
        </w:rPr>
        <w:t xml:space="preserve"> </w:t>
      </w:r>
      <w:r w:rsidR="00306D22" w:rsidRPr="0012395A">
        <w:rPr>
          <w:rFonts w:ascii="Times New Roman" w:hAnsi="Times New Roman" w:cs="Times New Roman"/>
        </w:rPr>
        <w:t xml:space="preserve">Early </w:t>
      </w:r>
      <w:r w:rsidR="00827ADF" w:rsidRPr="0012395A">
        <w:rPr>
          <w:rFonts w:ascii="Times New Roman" w:hAnsi="Times New Roman" w:cs="Times New Roman"/>
        </w:rPr>
        <w:t xml:space="preserve">judicial interpretations </w:t>
      </w:r>
      <w:r w:rsidR="00B21A98" w:rsidRPr="0012395A">
        <w:rPr>
          <w:rFonts w:ascii="Times New Roman" w:hAnsi="Times New Roman" w:cs="Times New Roman"/>
        </w:rPr>
        <w:t xml:space="preserve">of the Sherman Act </w:t>
      </w:r>
      <w:r w:rsidR="00827ADF" w:rsidRPr="0012395A">
        <w:rPr>
          <w:rFonts w:ascii="Times New Roman" w:hAnsi="Times New Roman" w:cs="Times New Roman"/>
        </w:rPr>
        <w:t xml:space="preserve">noted </w:t>
      </w:r>
      <w:r w:rsidR="00306D22" w:rsidRPr="0012395A">
        <w:rPr>
          <w:rFonts w:ascii="Times New Roman" w:hAnsi="Times New Roman" w:cs="Times New Roman"/>
        </w:rPr>
        <w:t xml:space="preserve">that a </w:t>
      </w:r>
      <w:r w:rsidR="00B21A98" w:rsidRPr="0012395A">
        <w:rPr>
          <w:rFonts w:ascii="Times New Roman" w:hAnsi="Times New Roman" w:cs="Times New Roman"/>
        </w:rPr>
        <w:t>strict</w:t>
      </w:r>
      <w:r w:rsidR="001F359D">
        <w:rPr>
          <w:rFonts w:ascii="Times New Roman" w:hAnsi="Times New Roman" w:cs="Times New Roman"/>
        </w:rPr>
        <w:t>,</w:t>
      </w:r>
      <w:r w:rsidR="00B21A98" w:rsidRPr="0012395A">
        <w:rPr>
          <w:rFonts w:ascii="Times New Roman" w:hAnsi="Times New Roman" w:cs="Times New Roman"/>
        </w:rPr>
        <w:t xml:space="preserve"> </w:t>
      </w:r>
      <w:r w:rsidR="00306D22" w:rsidRPr="0012395A">
        <w:rPr>
          <w:rFonts w:ascii="Times New Roman" w:hAnsi="Times New Roman" w:cs="Times New Roman"/>
        </w:rPr>
        <w:t xml:space="preserve">literal reading </w:t>
      </w:r>
      <w:r w:rsidR="00827ADF" w:rsidRPr="0012395A">
        <w:rPr>
          <w:rFonts w:ascii="Times New Roman" w:hAnsi="Times New Roman" w:cs="Times New Roman"/>
        </w:rPr>
        <w:t xml:space="preserve">would result in the illegality of </w:t>
      </w:r>
      <w:r w:rsidR="00827ADF" w:rsidRPr="0012395A">
        <w:rPr>
          <w:rFonts w:ascii="Times New Roman" w:hAnsi="Times New Roman" w:cs="Times New Roman"/>
          <w:i/>
        </w:rPr>
        <w:t>every</w:t>
      </w:r>
      <w:r w:rsidR="00827ADF" w:rsidRPr="0012395A">
        <w:rPr>
          <w:rFonts w:ascii="Times New Roman" w:hAnsi="Times New Roman" w:cs="Times New Roman"/>
        </w:rPr>
        <w:t xml:space="preserve"> agreement between two or more entities</w:t>
      </w:r>
      <w:r w:rsidR="00E117A7" w:rsidRPr="0012395A">
        <w:rPr>
          <w:rFonts w:ascii="Times New Roman" w:hAnsi="Times New Roman" w:cs="Times New Roman"/>
        </w:rPr>
        <w:t xml:space="preserve"> because </w:t>
      </w:r>
      <w:r w:rsidR="00827ADF" w:rsidRPr="0012395A">
        <w:rPr>
          <w:rFonts w:ascii="Times New Roman" w:hAnsi="Times New Roman" w:cs="Times New Roman"/>
        </w:rPr>
        <w:t xml:space="preserve">an agreement necessarily </w:t>
      </w:r>
      <w:r w:rsidR="00CD77DF" w:rsidRPr="0012395A">
        <w:rPr>
          <w:rFonts w:ascii="Times New Roman" w:hAnsi="Times New Roman" w:cs="Times New Roman"/>
        </w:rPr>
        <w:t>prevent</w:t>
      </w:r>
      <w:r w:rsidR="009B5F77" w:rsidRPr="0012395A">
        <w:rPr>
          <w:rFonts w:ascii="Times New Roman" w:hAnsi="Times New Roman" w:cs="Times New Roman"/>
        </w:rPr>
        <w:t>s</w:t>
      </w:r>
      <w:r w:rsidR="00163B77" w:rsidRPr="0012395A">
        <w:rPr>
          <w:rFonts w:ascii="Times New Roman" w:hAnsi="Times New Roman" w:cs="Times New Roman"/>
        </w:rPr>
        <w:t xml:space="preserve"> one</w:t>
      </w:r>
      <w:r w:rsidR="00827ADF" w:rsidRPr="0012395A">
        <w:rPr>
          <w:rFonts w:ascii="Times New Roman" w:hAnsi="Times New Roman" w:cs="Times New Roman"/>
        </w:rPr>
        <w:t xml:space="preserve"> party’s competitors from </w:t>
      </w:r>
      <w:r w:rsidR="00163B77" w:rsidRPr="0012395A">
        <w:rPr>
          <w:rFonts w:ascii="Times New Roman" w:hAnsi="Times New Roman" w:cs="Times New Roman"/>
        </w:rPr>
        <w:t>gaining the business of the other</w:t>
      </w:r>
      <w:r w:rsidR="009B5F77" w:rsidRPr="0012395A">
        <w:rPr>
          <w:rFonts w:ascii="Times New Roman" w:hAnsi="Times New Roman" w:cs="Times New Roman"/>
        </w:rPr>
        <w:t xml:space="preserve"> party to the deal</w:t>
      </w:r>
      <w:r w:rsidR="00827ADF" w:rsidRPr="0012395A">
        <w:rPr>
          <w:rFonts w:ascii="Times New Roman" w:hAnsi="Times New Roman" w:cs="Times New Roman"/>
        </w:rPr>
        <w:t>.</w:t>
      </w:r>
      <w:r w:rsidR="00827ADF" w:rsidRPr="0012395A">
        <w:rPr>
          <w:rStyle w:val="EndnoteReference"/>
          <w:rFonts w:ascii="Times New Roman" w:hAnsi="Times New Roman" w:cs="Times New Roman"/>
        </w:rPr>
        <w:endnoteReference w:id="2"/>
      </w:r>
      <w:r w:rsidR="00827ADF" w:rsidRPr="0012395A">
        <w:rPr>
          <w:rFonts w:ascii="Times New Roman" w:hAnsi="Times New Roman" w:cs="Times New Roman"/>
        </w:rPr>
        <w:t xml:space="preserve">  Thus, </w:t>
      </w:r>
      <w:r w:rsidR="00107B8A" w:rsidRPr="0012395A">
        <w:rPr>
          <w:rFonts w:ascii="Times New Roman" w:hAnsi="Times New Roman" w:cs="Times New Roman"/>
        </w:rPr>
        <w:t xml:space="preserve">the Court found it necessary, </w:t>
      </w:r>
      <w:r w:rsidR="005D1D45" w:rsidRPr="0012395A">
        <w:rPr>
          <w:rFonts w:ascii="Times New Roman" w:hAnsi="Times New Roman" w:cs="Times New Roman"/>
        </w:rPr>
        <w:t>based on earlier common law antitrust jurisprudence and the simple need to promot</w:t>
      </w:r>
      <w:r w:rsidR="00107B8A" w:rsidRPr="0012395A">
        <w:rPr>
          <w:rFonts w:ascii="Times New Roman" w:hAnsi="Times New Roman" w:cs="Times New Roman"/>
        </w:rPr>
        <w:t>e the spirit of the Sherman Act,</w:t>
      </w:r>
      <w:r w:rsidR="005D1D45" w:rsidRPr="0012395A">
        <w:rPr>
          <w:rFonts w:ascii="Times New Roman" w:hAnsi="Times New Roman" w:cs="Times New Roman"/>
        </w:rPr>
        <w:t xml:space="preserve"> to use </w:t>
      </w:r>
      <w:r w:rsidR="00107B8A" w:rsidRPr="0012395A">
        <w:rPr>
          <w:rFonts w:ascii="Times New Roman" w:hAnsi="Times New Roman" w:cs="Times New Roman"/>
        </w:rPr>
        <w:t xml:space="preserve">a “rule of </w:t>
      </w:r>
      <w:r w:rsidR="005D1D45" w:rsidRPr="0012395A">
        <w:rPr>
          <w:rFonts w:ascii="Times New Roman" w:hAnsi="Times New Roman" w:cs="Times New Roman"/>
        </w:rPr>
        <w:t>reason</w:t>
      </w:r>
      <w:r w:rsidR="00107B8A" w:rsidRPr="0012395A">
        <w:rPr>
          <w:rFonts w:ascii="Times New Roman" w:hAnsi="Times New Roman" w:cs="Times New Roman"/>
        </w:rPr>
        <w:t>”</w:t>
      </w:r>
      <w:r w:rsidR="005D1D45" w:rsidRPr="0012395A">
        <w:rPr>
          <w:rFonts w:ascii="Times New Roman" w:hAnsi="Times New Roman" w:cs="Times New Roman"/>
        </w:rPr>
        <w:t xml:space="preserve"> when conducting a Sherman Act Section 1</w:t>
      </w:r>
      <w:r w:rsidR="00827ADF" w:rsidRPr="0012395A">
        <w:rPr>
          <w:rFonts w:ascii="Times New Roman" w:hAnsi="Times New Roman" w:cs="Times New Roman"/>
        </w:rPr>
        <w:t xml:space="preserve"> </w:t>
      </w:r>
      <w:r w:rsidR="00667264" w:rsidRPr="0012395A">
        <w:rPr>
          <w:rFonts w:ascii="Times New Roman" w:hAnsi="Times New Roman" w:cs="Times New Roman"/>
        </w:rPr>
        <w:t xml:space="preserve">analysis </w:t>
      </w:r>
      <w:r w:rsidR="009B5F77" w:rsidRPr="0012395A">
        <w:rPr>
          <w:rFonts w:ascii="Times New Roman" w:hAnsi="Times New Roman" w:cs="Times New Roman"/>
        </w:rPr>
        <w:t xml:space="preserve">in order to assess whether an </w:t>
      </w:r>
      <w:r w:rsidR="00B24BA3" w:rsidRPr="0012395A">
        <w:rPr>
          <w:rFonts w:ascii="Times New Roman" w:hAnsi="Times New Roman" w:cs="Times New Roman"/>
        </w:rPr>
        <w:t xml:space="preserve">agreement </w:t>
      </w:r>
      <w:r w:rsidR="005D1D45" w:rsidRPr="0012395A">
        <w:rPr>
          <w:rFonts w:ascii="Times New Roman" w:hAnsi="Times New Roman" w:cs="Times New Roman"/>
        </w:rPr>
        <w:t xml:space="preserve">would actually </w:t>
      </w:r>
      <w:r w:rsidR="00B24BA3" w:rsidRPr="0012395A">
        <w:rPr>
          <w:rFonts w:ascii="Times New Roman" w:hAnsi="Times New Roman" w:cs="Times New Roman"/>
        </w:rPr>
        <w:t xml:space="preserve">promote or </w:t>
      </w:r>
      <w:r w:rsidR="00FE65F7" w:rsidRPr="0012395A">
        <w:rPr>
          <w:rFonts w:ascii="Times New Roman" w:hAnsi="Times New Roman" w:cs="Times New Roman"/>
        </w:rPr>
        <w:t>suppress competition</w:t>
      </w:r>
      <w:r w:rsidR="001750B4" w:rsidRPr="0012395A">
        <w:rPr>
          <w:rFonts w:ascii="Times New Roman" w:hAnsi="Times New Roman" w:cs="Times New Roman"/>
        </w:rPr>
        <w:t xml:space="preserve"> </w:t>
      </w:r>
      <w:r w:rsidR="00107B8A" w:rsidRPr="0012395A">
        <w:rPr>
          <w:rFonts w:ascii="Times New Roman" w:hAnsi="Times New Roman" w:cs="Times New Roman"/>
        </w:rPr>
        <w:t>under the Act.</w:t>
      </w:r>
      <w:r w:rsidR="00107B8A" w:rsidRPr="0012395A">
        <w:rPr>
          <w:rStyle w:val="EndnoteReference"/>
          <w:rFonts w:ascii="Times New Roman" w:hAnsi="Times New Roman" w:cs="Times New Roman"/>
        </w:rPr>
        <w:endnoteReference w:id="3"/>
      </w:r>
      <w:r w:rsidR="00107B8A" w:rsidRPr="0012395A">
        <w:rPr>
          <w:rFonts w:ascii="Times New Roman" w:hAnsi="Times New Roman" w:cs="Times New Roman"/>
        </w:rPr>
        <w:t xml:space="preserve">  The</w:t>
      </w:r>
      <w:r w:rsidR="00AB1E6A" w:rsidRPr="0012395A">
        <w:rPr>
          <w:rFonts w:ascii="Times New Roman" w:hAnsi="Times New Roman" w:cs="Times New Roman"/>
        </w:rPr>
        <w:t xml:space="preserve"> rule of reason analysis</w:t>
      </w:r>
      <w:r w:rsidR="00B27E19">
        <w:rPr>
          <w:rFonts w:ascii="Times New Roman" w:hAnsi="Times New Roman" w:cs="Times New Roman"/>
        </w:rPr>
        <w:t xml:space="preserve"> seeks to balance the pro- and anti</w:t>
      </w:r>
      <w:r w:rsidR="00AB1E6A" w:rsidRPr="0012395A">
        <w:rPr>
          <w:rFonts w:ascii="Times New Roman" w:hAnsi="Times New Roman" w:cs="Times New Roman"/>
        </w:rPr>
        <w:t xml:space="preserve">competitive effects of </w:t>
      </w:r>
      <w:r w:rsidR="00107B8A" w:rsidRPr="0012395A">
        <w:rPr>
          <w:rFonts w:ascii="Times New Roman" w:hAnsi="Times New Roman" w:cs="Times New Roman"/>
        </w:rPr>
        <w:t>an agreement against each other (t</w:t>
      </w:r>
      <w:r w:rsidR="00AB1E6A" w:rsidRPr="0012395A">
        <w:rPr>
          <w:rFonts w:ascii="Times New Roman" w:hAnsi="Times New Roman" w:cs="Times New Roman"/>
        </w:rPr>
        <w:t xml:space="preserve">he </w:t>
      </w:r>
      <w:r w:rsidR="00107B8A" w:rsidRPr="0012395A">
        <w:rPr>
          <w:rFonts w:ascii="Times New Roman" w:hAnsi="Times New Roman" w:cs="Times New Roman"/>
        </w:rPr>
        <w:t xml:space="preserve">absence or </w:t>
      </w:r>
      <w:r w:rsidR="00AB1E6A" w:rsidRPr="0012395A">
        <w:rPr>
          <w:rFonts w:ascii="Times New Roman" w:hAnsi="Times New Roman" w:cs="Times New Roman"/>
        </w:rPr>
        <w:t xml:space="preserve">presence </w:t>
      </w:r>
      <w:r w:rsidR="009B5F77" w:rsidRPr="0012395A">
        <w:rPr>
          <w:rFonts w:ascii="Times New Roman" w:hAnsi="Times New Roman" w:cs="Times New Roman"/>
        </w:rPr>
        <w:t xml:space="preserve">of </w:t>
      </w:r>
      <w:r w:rsidR="00AB1E6A" w:rsidRPr="0012395A">
        <w:rPr>
          <w:rFonts w:ascii="Times New Roman" w:hAnsi="Times New Roman" w:cs="Times New Roman"/>
        </w:rPr>
        <w:t>either is not dispositiv</w:t>
      </w:r>
      <w:r w:rsidR="00107B8A" w:rsidRPr="0012395A">
        <w:rPr>
          <w:rFonts w:ascii="Times New Roman" w:hAnsi="Times New Roman" w:cs="Times New Roman"/>
        </w:rPr>
        <w:t>e of the outcome)</w:t>
      </w:r>
      <w:r w:rsidR="00FE65F7" w:rsidRPr="0012395A">
        <w:rPr>
          <w:rFonts w:ascii="Times New Roman" w:hAnsi="Times New Roman" w:cs="Times New Roman"/>
        </w:rPr>
        <w:t>.</w:t>
      </w:r>
      <w:r w:rsidR="00107B8A" w:rsidRPr="0012395A">
        <w:rPr>
          <w:rFonts w:ascii="Times New Roman" w:hAnsi="Times New Roman" w:cs="Times New Roman"/>
        </w:rPr>
        <w:t xml:space="preserve"> </w:t>
      </w:r>
      <w:r w:rsidR="009B5F77" w:rsidRPr="0012395A">
        <w:rPr>
          <w:rFonts w:ascii="Times New Roman" w:hAnsi="Times New Roman" w:cs="Times New Roman"/>
        </w:rPr>
        <w:t xml:space="preserve"> Under the Court’s rule, </w:t>
      </w:r>
      <w:r w:rsidR="00CD77DF" w:rsidRPr="0012395A">
        <w:rPr>
          <w:rFonts w:ascii="Times New Roman" w:hAnsi="Times New Roman" w:cs="Times New Roman"/>
        </w:rPr>
        <w:t xml:space="preserve">agreements unreasonably suppressing competition </w:t>
      </w:r>
      <w:r w:rsidR="001F359D">
        <w:rPr>
          <w:rFonts w:ascii="Times New Roman" w:hAnsi="Times New Roman" w:cs="Times New Roman"/>
        </w:rPr>
        <w:t>are</w:t>
      </w:r>
      <w:r w:rsidR="00CD77DF" w:rsidRPr="0012395A">
        <w:rPr>
          <w:rFonts w:ascii="Times New Roman" w:hAnsi="Times New Roman" w:cs="Times New Roman"/>
        </w:rPr>
        <w:t xml:space="preserve"> violations of Section 1, while those </w:t>
      </w:r>
      <w:r w:rsidR="009B5F77" w:rsidRPr="0012395A">
        <w:rPr>
          <w:rFonts w:ascii="Times New Roman" w:hAnsi="Times New Roman" w:cs="Times New Roman"/>
        </w:rPr>
        <w:t xml:space="preserve">not found to have a negative effect on competition </w:t>
      </w:r>
      <w:r w:rsidR="00B27E19">
        <w:rPr>
          <w:rFonts w:ascii="Times New Roman" w:hAnsi="Times New Roman" w:cs="Times New Roman"/>
        </w:rPr>
        <w:t>are</w:t>
      </w:r>
      <w:r w:rsidR="00CD77DF" w:rsidRPr="0012395A">
        <w:rPr>
          <w:rFonts w:ascii="Times New Roman" w:hAnsi="Times New Roman" w:cs="Times New Roman"/>
        </w:rPr>
        <w:t xml:space="preserve"> not. </w:t>
      </w:r>
      <w:r w:rsidR="00A23A30" w:rsidRPr="0012395A">
        <w:rPr>
          <w:rFonts w:ascii="Times New Roman" w:hAnsi="Times New Roman" w:cs="Times New Roman"/>
        </w:rPr>
        <w:t xml:space="preserve"> </w:t>
      </w:r>
    </w:p>
    <w:p w14:paraId="4D973301" w14:textId="69F5B6EF" w:rsidR="002379C3" w:rsidRPr="0012395A" w:rsidRDefault="00A23A30" w:rsidP="00864B96">
      <w:pPr>
        <w:spacing w:line="480" w:lineRule="auto"/>
        <w:ind w:firstLine="720"/>
        <w:rPr>
          <w:rFonts w:ascii="Times New Roman" w:hAnsi="Times New Roman" w:cs="Times New Roman"/>
        </w:rPr>
      </w:pPr>
      <w:r w:rsidRPr="0012395A">
        <w:rPr>
          <w:rFonts w:ascii="Times New Roman" w:hAnsi="Times New Roman" w:cs="Times New Roman"/>
        </w:rPr>
        <w:t xml:space="preserve">A </w:t>
      </w:r>
      <w:r w:rsidR="00163B77" w:rsidRPr="0012395A">
        <w:rPr>
          <w:rFonts w:ascii="Times New Roman" w:hAnsi="Times New Roman" w:cs="Times New Roman"/>
        </w:rPr>
        <w:t xml:space="preserve">full-scale </w:t>
      </w:r>
      <w:r w:rsidRPr="0012395A">
        <w:rPr>
          <w:rFonts w:ascii="Times New Roman" w:hAnsi="Times New Roman" w:cs="Times New Roman"/>
        </w:rPr>
        <w:t xml:space="preserve">analysis of all the relevant </w:t>
      </w:r>
      <w:r w:rsidR="00F220A4" w:rsidRPr="0012395A">
        <w:rPr>
          <w:rFonts w:ascii="Times New Roman" w:hAnsi="Times New Roman" w:cs="Times New Roman"/>
        </w:rPr>
        <w:t xml:space="preserve">market </w:t>
      </w:r>
      <w:r w:rsidRPr="0012395A">
        <w:rPr>
          <w:rFonts w:ascii="Times New Roman" w:hAnsi="Times New Roman" w:cs="Times New Roman"/>
        </w:rPr>
        <w:t xml:space="preserve">conditions </w:t>
      </w:r>
      <w:r w:rsidR="00163B77" w:rsidRPr="0012395A">
        <w:rPr>
          <w:rFonts w:ascii="Times New Roman" w:hAnsi="Times New Roman" w:cs="Times New Roman"/>
        </w:rPr>
        <w:t xml:space="preserve">and factors </w:t>
      </w:r>
      <w:r w:rsidRPr="0012395A">
        <w:rPr>
          <w:rFonts w:ascii="Times New Roman" w:hAnsi="Times New Roman" w:cs="Times New Roman"/>
        </w:rPr>
        <w:t>surrounding an agreement is both time</w:t>
      </w:r>
      <w:r w:rsidR="005D7FB4" w:rsidRPr="0012395A">
        <w:rPr>
          <w:rFonts w:ascii="Times New Roman" w:hAnsi="Times New Roman" w:cs="Times New Roman"/>
        </w:rPr>
        <w:t>-</w:t>
      </w:r>
      <w:r w:rsidRPr="0012395A">
        <w:rPr>
          <w:rFonts w:ascii="Times New Roman" w:hAnsi="Times New Roman" w:cs="Times New Roman"/>
        </w:rPr>
        <w:t>consuming and costly</w:t>
      </w:r>
      <w:r w:rsidR="00F220A4" w:rsidRPr="0012395A">
        <w:rPr>
          <w:rFonts w:ascii="Times New Roman" w:hAnsi="Times New Roman" w:cs="Times New Roman"/>
        </w:rPr>
        <w:t xml:space="preserve">.  </w:t>
      </w:r>
      <w:r w:rsidR="00D7149D" w:rsidRPr="0012395A">
        <w:rPr>
          <w:rFonts w:ascii="Times New Roman" w:hAnsi="Times New Roman" w:cs="Times New Roman"/>
        </w:rPr>
        <w:t>Notably</w:t>
      </w:r>
      <w:r w:rsidR="001F359D">
        <w:rPr>
          <w:rFonts w:ascii="Times New Roman" w:hAnsi="Times New Roman" w:cs="Times New Roman"/>
        </w:rPr>
        <w:t xml:space="preserve"> therefore</w:t>
      </w:r>
      <w:r w:rsidR="00D7149D" w:rsidRPr="0012395A">
        <w:rPr>
          <w:rFonts w:ascii="Times New Roman" w:hAnsi="Times New Roman" w:cs="Times New Roman"/>
        </w:rPr>
        <w:t xml:space="preserve">, </w:t>
      </w:r>
      <w:r w:rsidR="00163B77" w:rsidRPr="0012395A">
        <w:rPr>
          <w:rFonts w:ascii="Times New Roman" w:hAnsi="Times New Roman" w:cs="Times New Roman"/>
        </w:rPr>
        <w:t xml:space="preserve">in its 1940 </w:t>
      </w:r>
      <w:proofErr w:type="spellStart"/>
      <w:r w:rsidR="00163B77" w:rsidRPr="0012395A">
        <w:rPr>
          <w:rFonts w:ascii="Times New Roman" w:hAnsi="Times New Roman" w:cs="Times New Roman"/>
          <w:i/>
        </w:rPr>
        <w:t>Socony</w:t>
      </w:r>
      <w:proofErr w:type="spellEnd"/>
      <w:r w:rsidR="00495499" w:rsidRPr="0012395A">
        <w:rPr>
          <w:rFonts w:ascii="Times New Roman" w:hAnsi="Times New Roman" w:cs="Times New Roman"/>
          <w:i/>
        </w:rPr>
        <w:t>-</w:t>
      </w:r>
      <w:r w:rsidR="00163B77" w:rsidRPr="0012395A">
        <w:rPr>
          <w:rFonts w:ascii="Times New Roman" w:hAnsi="Times New Roman" w:cs="Times New Roman"/>
          <w:i/>
        </w:rPr>
        <w:t xml:space="preserve">Vacuum </w:t>
      </w:r>
      <w:r w:rsidR="00163B77" w:rsidRPr="0012395A">
        <w:rPr>
          <w:rFonts w:ascii="Times New Roman" w:hAnsi="Times New Roman" w:cs="Times New Roman"/>
        </w:rPr>
        <w:t xml:space="preserve">decision, </w:t>
      </w:r>
      <w:r w:rsidR="00F304DC" w:rsidRPr="0012395A">
        <w:rPr>
          <w:rFonts w:ascii="Times New Roman" w:hAnsi="Times New Roman" w:cs="Times New Roman"/>
        </w:rPr>
        <w:t>the Supreme Court held that</w:t>
      </w:r>
      <w:r w:rsidR="00DF6817" w:rsidRPr="0012395A">
        <w:rPr>
          <w:rFonts w:ascii="Times New Roman" w:hAnsi="Times New Roman" w:cs="Times New Roman"/>
        </w:rPr>
        <w:t xml:space="preserve"> </w:t>
      </w:r>
      <w:r w:rsidR="00FE65F7" w:rsidRPr="0012395A">
        <w:rPr>
          <w:rFonts w:ascii="Times New Roman" w:hAnsi="Times New Roman" w:cs="Times New Roman"/>
        </w:rPr>
        <w:t>certain types of conduct, such as price</w:t>
      </w:r>
      <w:r w:rsidR="000F542B" w:rsidRPr="0012395A">
        <w:rPr>
          <w:rFonts w:ascii="Times New Roman" w:hAnsi="Times New Roman" w:cs="Times New Roman"/>
        </w:rPr>
        <w:t xml:space="preserve"> </w:t>
      </w:r>
      <w:r w:rsidR="00FE65F7" w:rsidRPr="0012395A">
        <w:rPr>
          <w:rFonts w:ascii="Times New Roman" w:hAnsi="Times New Roman" w:cs="Times New Roman"/>
        </w:rPr>
        <w:t xml:space="preserve">fixing, inherently restrain competition </w:t>
      </w:r>
      <w:r w:rsidR="002379C3" w:rsidRPr="0012395A">
        <w:rPr>
          <w:rFonts w:ascii="Times New Roman" w:hAnsi="Times New Roman" w:cs="Times New Roman"/>
        </w:rPr>
        <w:t xml:space="preserve">in an unreasonable manner </w:t>
      </w:r>
      <w:r w:rsidR="00FE65F7" w:rsidRPr="0012395A">
        <w:rPr>
          <w:rFonts w:ascii="Times New Roman" w:hAnsi="Times New Roman" w:cs="Times New Roman"/>
        </w:rPr>
        <w:t xml:space="preserve">and are therefore </w:t>
      </w:r>
      <w:r w:rsidR="002379C3" w:rsidRPr="0012395A">
        <w:rPr>
          <w:rFonts w:ascii="Times New Roman" w:hAnsi="Times New Roman" w:cs="Times New Roman"/>
        </w:rPr>
        <w:t xml:space="preserve">prohibited </w:t>
      </w:r>
      <w:r w:rsidR="00FE65F7" w:rsidRPr="0012395A">
        <w:rPr>
          <w:rFonts w:ascii="Times New Roman" w:hAnsi="Times New Roman" w:cs="Times New Roman"/>
          <w:i/>
        </w:rPr>
        <w:t>per s</w:t>
      </w:r>
      <w:r w:rsidR="002379C3" w:rsidRPr="0012395A">
        <w:rPr>
          <w:rFonts w:ascii="Times New Roman" w:hAnsi="Times New Roman" w:cs="Times New Roman"/>
          <w:i/>
        </w:rPr>
        <w:t>e</w:t>
      </w:r>
      <w:r w:rsidR="003C0855" w:rsidRPr="0012395A">
        <w:rPr>
          <w:rFonts w:ascii="Times New Roman" w:hAnsi="Times New Roman" w:cs="Times New Roman"/>
        </w:rPr>
        <w:t>.</w:t>
      </w:r>
      <w:r w:rsidR="00F304DC" w:rsidRPr="0012395A">
        <w:rPr>
          <w:rStyle w:val="EndnoteReference"/>
          <w:rFonts w:ascii="Times New Roman" w:hAnsi="Times New Roman" w:cs="Times New Roman"/>
        </w:rPr>
        <w:endnoteReference w:id="4"/>
      </w:r>
      <w:r w:rsidR="003C0855" w:rsidRPr="0012395A">
        <w:rPr>
          <w:rFonts w:ascii="Times New Roman" w:hAnsi="Times New Roman" w:cs="Times New Roman"/>
        </w:rPr>
        <w:t xml:space="preserve"> </w:t>
      </w:r>
      <w:r w:rsidR="00CD77DF" w:rsidRPr="0012395A">
        <w:rPr>
          <w:rFonts w:ascii="Times New Roman" w:hAnsi="Times New Roman" w:cs="Times New Roman"/>
        </w:rPr>
        <w:t xml:space="preserve"> Under such </w:t>
      </w:r>
      <w:r w:rsidR="00CD77DF" w:rsidRPr="0012395A">
        <w:rPr>
          <w:rFonts w:ascii="Times New Roman" w:hAnsi="Times New Roman" w:cs="Times New Roman"/>
          <w:i/>
        </w:rPr>
        <w:t xml:space="preserve">per </w:t>
      </w:r>
      <w:r w:rsidR="00CD77DF" w:rsidRPr="0012395A">
        <w:rPr>
          <w:rFonts w:ascii="Times New Roman" w:hAnsi="Times New Roman" w:cs="Times New Roman"/>
        </w:rPr>
        <w:t xml:space="preserve">se rules, </w:t>
      </w:r>
      <w:r w:rsidR="00D7149D" w:rsidRPr="0012395A">
        <w:rPr>
          <w:rFonts w:ascii="Times New Roman" w:hAnsi="Times New Roman" w:cs="Times New Roman"/>
        </w:rPr>
        <w:t>the</w:t>
      </w:r>
      <w:r w:rsidR="00667264" w:rsidRPr="0012395A">
        <w:rPr>
          <w:rFonts w:ascii="Times New Roman" w:hAnsi="Times New Roman" w:cs="Times New Roman"/>
        </w:rPr>
        <w:t xml:space="preserve"> </w:t>
      </w:r>
      <w:r w:rsidR="00D7149D" w:rsidRPr="0012395A">
        <w:rPr>
          <w:rFonts w:ascii="Times New Roman" w:hAnsi="Times New Roman" w:cs="Times New Roman"/>
        </w:rPr>
        <w:t>C</w:t>
      </w:r>
      <w:r w:rsidR="003C0855" w:rsidRPr="0012395A">
        <w:rPr>
          <w:rFonts w:ascii="Times New Roman" w:hAnsi="Times New Roman" w:cs="Times New Roman"/>
        </w:rPr>
        <w:t xml:space="preserve">ourt’s evidential inquiry </w:t>
      </w:r>
      <w:r w:rsidR="00667264" w:rsidRPr="0012395A">
        <w:rPr>
          <w:rFonts w:ascii="Times New Roman" w:hAnsi="Times New Roman" w:cs="Times New Roman"/>
        </w:rPr>
        <w:t>end</w:t>
      </w:r>
      <w:r w:rsidR="00CD77DF" w:rsidRPr="0012395A">
        <w:rPr>
          <w:rFonts w:ascii="Times New Roman" w:hAnsi="Times New Roman" w:cs="Times New Roman"/>
        </w:rPr>
        <w:t>s</w:t>
      </w:r>
      <w:r w:rsidR="003C0855" w:rsidRPr="0012395A">
        <w:rPr>
          <w:rFonts w:ascii="Times New Roman" w:hAnsi="Times New Roman" w:cs="Times New Roman"/>
        </w:rPr>
        <w:t xml:space="preserve"> once </w:t>
      </w:r>
      <w:r w:rsidR="00D7149D" w:rsidRPr="0012395A">
        <w:rPr>
          <w:rFonts w:ascii="Times New Roman" w:hAnsi="Times New Roman" w:cs="Times New Roman"/>
        </w:rPr>
        <w:t xml:space="preserve">it </w:t>
      </w:r>
      <w:r w:rsidR="003C0855" w:rsidRPr="0012395A">
        <w:rPr>
          <w:rFonts w:ascii="Times New Roman" w:hAnsi="Times New Roman" w:cs="Times New Roman"/>
        </w:rPr>
        <w:t>determines</w:t>
      </w:r>
      <w:r w:rsidR="001F359D">
        <w:rPr>
          <w:rFonts w:ascii="Times New Roman" w:hAnsi="Times New Roman" w:cs="Times New Roman"/>
        </w:rPr>
        <w:t xml:space="preserve"> that</w:t>
      </w:r>
      <w:r w:rsidR="00667264" w:rsidRPr="0012395A">
        <w:rPr>
          <w:rFonts w:ascii="Times New Roman" w:hAnsi="Times New Roman" w:cs="Times New Roman"/>
        </w:rPr>
        <w:t xml:space="preserve"> a</w:t>
      </w:r>
      <w:r w:rsidR="00D7149D" w:rsidRPr="0012395A">
        <w:rPr>
          <w:rFonts w:ascii="Times New Roman" w:hAnsi="Times New Roman" w:cs="Times New Roman"/>
        </w:rPr>
        <w:t xml:space="preserve"> contract or</w:t>
      </w:r>
      <w:r w:rsidR="00667264" w:rsidRPr="0012395A">
        <w:rPr>
          <w:rFonts w:ascii="Times New Roman" w:hAnsi="Times New Roman" w:cs="Times New Roman"/>
        </w:rPr>
        <w:t xml:space="preserve"> agreement</w:t>
      </w:r>
      <w:r w:rsidR="001F359D">
        <w:rPr>
          <w:rFonts w:ascii="Times New Roman" w:hAnsi="Times New Roman" w:cs="Times New Roman"/>
        </w:rPr>
        <w:t xml:space="preserve"> </w:t>
      </w:r>
      <w:r w:rsidR="00D7149D" w:rsidRPr="0012395A">
        <w:rPr>
          <w:rFonts w:ascii="Times New Roman" w:hAnsi="Times New Roman" w:cs="Times New Roman"/>
        </w:rPr>
        <w:t>falls</w:t>
      </w:r>
      <w:r w:rsidR="00667264" w:rsidRPr="0012395A">
        <w:rPr>
          <w:rFonts w:ascii="Times New Roman" w:hAnsi="Times New Roman" w:cs="Times New Roman"/>
        </w:rPr>
        <w:t xml:space="preserve"> within a previously determined category of </w:t>
      </w:r>
      <w:r w:rsidR="00667264" w:rsidRPr="0012395A">
        <w:rPr>
          <w:rFonts w:ascii="Times New Roman" w:hAnsi="Times New Roman" w:cs="Times New Roman"/>
          <w:i/>
        </w:rPr>
        <w:t>per se</w:t>
      </w:r>
      <w:r w:rsidR="00667264" w:rsidRPr="0012395A">
        <w:rPr>
          <w:rFonts w:ascii="Times New Roman" w:hAnsi="Times New Roman" w:cs="Times New Roman"/>
        </w:rPr>
        <w:t xml:space="preserve"> illegality. </w:t>
      </w:r>
      <w:r w:rsidR="00D7149D" w:rsidRPr="0012395A">
        <w:rPr>
          <w:rFonts w:ascii="Times New Roman" w:hAnsi="Times New Roman" w:cs="Times New Roman"/>
        </w:rPr>
        <w:t xml:space="preserve"> </w:t>
      </w:r>
      <w:r w:rsidR="009F16A6" w:rsidRPr="0012395A">
        <w:rPr>
          <w:rFonts w:ascii="Times New Roman" w:hAnsi="Times New Roman" w:cs="Times New Roman"/>
        </w:rPr>
        <w:t>Any</w:t>
      </w:r>
      <w:r w:rsidR="001F359D">
        <w:rPr>
          <w:rFonts w:ascii="Times New Roman" w:hAnsi="Times New Roman" w:cs="Times New Roman"/>
        </w:rPr>
        <w:t xml:space="preserve"> such contract or</w:t>
      </w:r>
      <w:r w:rsidR="009F16A6" w:rsidRPr="0012395A">
        <w:rPr>
          <w:rFonts w:ascii="Times New Roman" w:hAnsi="Times New Roman" w:cs="Times New Roman"/>
        </w:rPr>
        <w:t xml:space="preserve"> </w:t>
      </w:r>
      <w:r w:rsidR="009F16A6" w:rsidRPr="0012395A">
        <w:rPr>
          <w:rFonts w:ascii="Times New Roman" w:hAnsi="Times New Roman" w:cs="Times New Roman"/>
        </w:rPr>
        <w:lastRenderedPageBreak/>
        <w:t>agreement is presumed anticompetitive and therefore prohibited</w:t>
      </w:r>
      <w:r w:rsidR="001F359D">
        <w:rPr>
          <w:rFonts w:ascii="Times New Roman" w:hAnsi="Times New Roman" w:cs="Times New Roman"/>
        </w:rPr>
        <w:t xml:space="preserve"> under Section 1</w:t>
      </w:r>
      <w:r w:rsidR="009F16A6" w:rsidRPr="0012395A">
        <w:rPr>
          <w:rFonts w:ascii="Times New Roman" w:hAnsi="Times New Roman" w:cs="Times New Roman"/>
        </w:rPr>
        <w:t>.</w:t>
      </w:r>
      <w:r w:rsidR="0045209A" w:rsidRPr="0012395A">
        <w:rPr>
          <w:rFonts w:ascii="Times New Roman" w:hAnsi="Times New Roman" w:cs="Times New Roman"/>
        </w:rPr>
        <w:t xml:space="preserve"> </w:t>
      </w:r>
      <w:r w:rsidR="00D7149D" w:rsidRPr="0012395A">
        <w:rPr>
          <w:rFonts w:ascii="Times New Roman" w:hAnsi="Times New Roman" w:cs="Times New Roman"/>
        </w:rPr>
        <w:t xml:space="preserve"> While </w:t>
      </w:r>
      <w:r w:rsidR="00D7149D" w:rsidRPr="0012395A">
        <w:rPr>
          <w:rFonts w:ascii="Times New Roman" w:hAnsi="Times New Roman" w:cs="Times New Roman"/>
          <w:i/>
        </w:rPr>
        <w:t xml:space="preserve">per se </w:t>
      </w:r>
      <w:r w:rsidR="00D7149D" w:rsidRPr="0012395A">
        <w:rPr>
          <w:rFonts w:ascii="Times New Roman" w:hAnsi="Times New Roman" w:cs="Times New Roman"/>
        </w:rPr>
        <w:t xml:space="preserve">rules are </w:t>
      </w:r>
      <w:r w:rsidR="00AB1E6A" w:rsidRPr="0012395A">
        <w:rPr>
          <w:rFonts w:ascii="Times New Roman" w:hAnsi="Times New Roman" w:cs="Times New Roman"/>
        </w:rPr>
        <w:t xml:space="preserve">an </w:t>
      </w:r>
      <w:r w:rsidR="00D7149D" w:rsidRPr="0012395A">
        <w:rPr>
          <w:rFonts w:ascii="Times New Roman" w:hAnsi="Times New Roman" w:cs="Times New Roman"/>
        </w:rPr>
        <w:t xml:space="preserve">extremely useful </w:t>
      </w:r>
      <w:r w:rsidR="00AB1E6A" w:rsidRPr="0012395A">
        <w:rPr>
          <w:rFonts w:ascii="Times New Roman" w:hAnsi="Times New Roman" w:cs="Times New Roman"/>
        </w:rPr>
        <w:t xml:space="preserve">tool </w:t>
      </w:r>
      <w:r w:rsidR="00FD555A" w:rsidRPr="0012395A">
        <w:rPr>
          <w:rFonts w:ascii="Times New Roman" w:hAnsi="Times New Roman" w:cs="Times New Roman"/>
        </w:rPr>
        <w:t>which help</w:t>
      </w:r>
      <w:r w:rsidR="00AB1E6A" w:rsidRPr="0012395A">
        <w:rPr>
          <w:rFonts w:ascii="Times New Roman" w:hAnsi="Times New Roman" w:cs="Times New Roman"/>
        </w:rPr>
        <w:t xml:space="preserve"> conserve time and resources, the Supreme Court has set a fairly high standard </w:t>
      </w:r>
      <w:r w:rsidR="00EB614F" w:rsidRPr="0012395A">
        <w:rPr>
          <w:rFonts w:ascii="Times New Roman" w:hAnsi="Times New Roman" w:cs="Times New Roman"/>
        </w:rPr>
        <w:t xml:space="preserve">for establishing such rules, requiring “considerable experience with the type of restraint at issue” </w:t>
      </w:r>
      <w:r w:rsidR="00FD555A" w:rsidRPr="0012395A">
        <w:rPr>
          <w:rFonts w:ascii="Times New Roman" w:hAnsi="Times New Roman" w:cs="Times New Roman"/>
        </w:rPr>
        <w:t>and “demonstrable econom</w:t>
      </w:r>
      <w:r w:rsidR="00B27E19">
        <w:rPr>
          <w:rFonts w:ascii="Times New Roman" w:hAnsi="Times New Roman" w:cs="Times New Roman"/>
        </w:rPr>
        <w:t>ic effect rather than . . .</w:t>
      </w:r>
      <w:r w:rsidR="00FD555A" w:rsidRPr="0012395A">
        <w:rPr>
          <w:rFonts w:ascii="Times New Roman" w:hAnsi="Times New Roman" w:cs="Times New Roman"/>
        </w:rPr>
        <w:t xml:space="preserve"> formalistic line drawing.”</w:t>
      </w:r>
      <w:r w:rsidR="00FD555A" w:rsidRPr="0012395A">
        <w:rPr>
          <w:rStyle w:val="EndnoteReference"/>
          <w:rFonts w:ascii="Times New Roman" w:hAnsi="Times New Roman" w:cs="Times New Roman"/>
        </w:rPr>
        <w:endnoteReference w:id="5"/>
      </w:r>
    </w:p>
    <w:p w14:paraId="56E077DA" w14:textId="147296F4" w:rsidR="00106066" w:rsidRPr="0012395A" w:rsidRDefault="00CD77DF" w:rsidP="00864B96">
      <w:pPr>
        <w:spacing w:line="480" w:lineRule="auto"/>
        <w:ind w:firstLine="720"/>
        <w:rPr>
          <w:rFonts w:ascii="Times New Roman" w:hAnsi="Times New Roman" w:cs="Times New Roman"/>
        </w:rPr>
      </w:pPr>
      <w:r w:rsidRPr="0012395A">
        <w:rPr>
          <w:rFonts w:ascii="Times New Roman" w:hAnsi="Times New Roman" w:cs="Times New Roman"/>
        </w:rPr>
        <w:t xml:space="preserve">The evolution of </w:t>
      </w:r>
      <w:r w:rsidR="00D03BE7" w:rsidRPr="0012395A">
        <w:rPr>
          <w:rFonts w:ascii="Times New Roman" w:hAnsi="Times New Roman" w:cs="Times New Roman"/>
        </w:rPr>
        <w:t>a</w:t>
      </w:r>
      <w:r w:rsidRPr="0012395A">
        <w:rPr>
          <w:rFonts w:ascii="Times New Roman" w:hAnsi="Times New Roman" w:cs="Times New Roman"/>
        </w:rPr>
        <w:t>ntitrust jurisprudence</w:t>
      </w:r>
      <w:r w:rsidR="00E117A7" w:rsidRPr="0012395A">
        <w:rPr>
          <w:rFonts w:ascii="Times New Roman" w:hAnsi="Times New Roman" w:cs="Times New Roman"/>
        </w:rPr>
        <w:t xml:space="preserve"> </w:t>
      </w:r>
      <w:r w:rsidR="000F542B" w:rsidRPr="0012395A">
        <w:rPr>
          <w:rFonts w:ascii="Times New Roman" w:hAnsi="Times New Roman" w:cs="Times New Roman"/>
        </w:rPr>
        <w:t xml:space="preserve">in the U.S. </w:t>
      </w:r>
      <w:r w:rsidRPr="0012395A">
        <w:rPr>
          <w:rFonts w:ascii="Times New Roman" w:hAnsi="Times New Roman" w:cs="Times New Roman"/>
        </w:rPr>
        <w:t xml:space="preserve">has </w:t>
      </w:r>
      <w:r w:rsidR="00D03BE7" w:rsidRPr="0012395A">
        <w:rPr>
          <w:rFonts w:ascii="Times New Roman" w:hAnsi="Times New Roman" w:cs="Times New Roman"/>
        </w:rPr>
        <w:t xml:space="preserve">seen the creation and abrogation of </w:t>
      </w:r>
      <w:r w:rsidR="009F16A6" w:rsidRPr="0012395A">
        <w:rPr>
          <w:rFonts w:ascii="Times New Roman" w:hAnsi="Times New Roman" w:cs="Times New Roman"/>
        </w:rPr>
        <w:t xml:space="preserve">such presumptions </w:t>
      </w:r>
      <w:r w:rsidR="002379C3" w:rsidRPr="0012395A">
        <w:rPr>
          <w:rFonts w:ascii="Times New Roman" w:hAnsi="Times New Roman" w:cs="Times New Roman"/>
        </w:rPr>
        <w:t xml:space="preserve">based on judicial experience and changing </w:t>
      </w:r>
      <w:r w:rsidR="00D03BE7" w:rsidRPr="0012395A">
        <w:rPr>
          <w:rFonts w:ascii="Times New Roman" w:hAnsi="Times New Roman" w:cs="Times New Roman"/>
        </w:rPr>
        <w:t>market conditions</w:t>
      </w:r>
      <w:r w:rsidR="00E117A7" w:rsidRPr="0012395A">
        <w:rPr>
          <w:rFonts w:ascii="Times New Roman" w:hAnsi="Times New Roman" w:cs="Times New Roman"/>
        </w:rPr>
        <w:t xml:space="preserve">.  </w:t>
      </w:r>
      <w:r w:rsidR="009003AC">
        <w:rPr>
          <w:rFonts w:ascii="Times New Roman" w:hAnsi="Times New Roman" w:cs="Times New Roman"/>
        </w:rPr>
        <w:t>I</w:t>
      </w:r>
      <w:r w:rsidR="00523897" w:rsidRPr="0012395A">
        <w:rPr>
          <w:rFonts w:ascii="Times New Roman" w:hAnsi="Times New Roman" w:cs="Times New Roman"/>
        </w:rPr>
        <w:t>n</w:t>
      </w:r>
      <w:r w:rsidR="009003AC">
        <w:rPr>
          <w:rFonts w:ascii="Times New Roman" w:hAnsi="Times New Roman" w:cs="Times New Roman"/>
        </w:rPr>
        <w:t xml:space="preserve"> 1967</w:t>
      </w:r>
      <w:r w:rsidR="0020540A" w:rsidRPr="0012395A">
        <w:rPr>
          <w:rFonts w:ascii="Times New Roman" w:hAnsi="Times New Roman" w:cs="Times New Roman"/>
        </w:rPr>
        <w:t xml:space="preserve"> </w:t>
      </w:r>
      <w:r w:rsidR="00523897" w:rsidRPr="0012395A">
        <w:rPr>
          <w:rFonts w:ascii="Times New Roman" w:hAnsi="Times New Roman" w:cs="Times New Roman"/>
        </w:rPr>
        <w:t xml:space="preserve">the court declared vertical territorial and customer restrictions </w:t>
      </w:r>
      <w:r w:rsidR="00523897" w:rsidRPr="0012395A">
        <w:rPr>
          <w:rFonts w:ascii="Times New Roman" w:hAnsi="Times New Roman" w:cs="Times New Roman"/>
          <w:i/>
        </w:rPr>
        <w:t xml:space="preserve">per se </w:t>
      </w:r>
      <w:r w:rsidR="00523897" w:rsidRPr="0012395A">
        <w:rPr>
          <w:rFonts w:ascii="Times New Roman" w:hAnsi="Times New Roman" w:cs="Times New Roman"/>
        </w:rPr>
        <w:t>illegal</w:t>
      </w:r>
      <w:r w:rsidR="0020540A" w:rsidRPr="0012395A">
        <w:rPr>
          <w:rFonts w:ascii="Times New Roman" w:hAnsi="Times New Roman" w:cs="Times New Roman"/>
        </w:rPr>
        <w:t xml:space="preserve"> </w:t>
      </w:r>
      <w:r w:rsidR="009003AC" w:rsidRPr="0012395A">
        <w:rPr>
          <w:rFonts w:ascii="Times New Roman" w:hAnsi="Times New Roman" w:cs="Times New Roman"/>
        </w:rPr>
        <w:t xml:space="preserve">in </w:t>
      </w:r>
      <w:r w:rsidR="009003AC" w:rsidRPr="0012395A">
        <w:rPr>
          <w:rFonts w:ascii="Times New Roman" w:hAnsi="Times New Roman" w:cs="Times New Roman"/>
          <w:i/>
        </w:rPr>
        <w:t>United States v. Arnold, Schwinn &amp; Co</w:t>
      </w:r>
      <w:r w:rsidR="009003AC" w:rsidRPr="0012395A">
        <w:rPr>
          <w:rFonts w:ascii="Times New Roman" w:hAnsi="Times New Roman" w:cs="Times New Roman"/>
        </w:rPr>
        <w:t xml:space="preserve">., </w:t>
      </w:r>
      <w:r w:rsidR="009003AC">
        <w:rPr>
          <w:rFonts w:ascii="Times New Roman" w:hAnsi="Times New Roman" w:cs="Times New Roman"/>
        </w:rPr>
        <w:t xml:space="preserve">but overruled that holding </w:t>
      </w:r>
      <w:r w:rsidR="0020540A" w:rsidRPr="0012395A">
        <w:rPr>
          <w:rFonts w:ascii="Times New Roman" w:hAnsi="Times New Roman" w:cs="Times New Roman"/>
        </w:rPr>
        <w:t xml:space="preserve">only ten years later in </w:t>
      </w:r>
      <w:r w:rsidR="0020540A" w:rsidRPr="0012395A">
        <w:rPr>
          <w:rFonts w:ascii="Times New Roman" w:hAnsi="Times New Roman" w:cs="Times New Roman"/>
          <w:i/>
          <w:iCs/>
        </w:rPr>
        <w:t>Continental T.V., Inc. v. GTE Sylvania, Inc.</w:t>
      </w:r>
      <w:r w:rsidR="00461468" w:rsidRPr="0012395A">
        <w:rPr>
          <w:rFonts w:ascii="Times New Roman" w:hAnsi="Times New Roman" w:cs="Times New Roman"/>
          <w:iCs/>
        </w:rPr>
        <w:t xml:space="preserve">, </w:t>
      </w:r>
      <w:r w:rsidR="001F359D">
        <w:rPr>
          <w:rFonts w:ascii="Times New Roman" w:hAnsi="Times New Roman" w:cs="Times New Roman"/>
        </w:rPr>
        <w:t xml:space="preserve">substituting </w:t>
      </w:r>
      <w:r w:rsidR="0020540A" w:rsidRPr="0012395A">
        <w:rPr>
          <w:rFonts w:ascii="Times New Roman" w:hAnsi="Times New Roman" w:cs="Times New Roman"/>
        </w:rPr>
        <w:t>a rule of reason analysis.</w:t>
      </w:r>
      <w:r w:rsidR="00E85BCB" w:rsidRPr="0012395A">
        <w:rPr>
          <w:rStyle w:val="EndnoteReference"/>
          <w:rFonts w:ascii="Times New Roman" w:hAnsi="Times New Roman" w:cs="Times New Roman"/>
        </w:rPr>
        <w:endnoteReference w:id="6"/>
      </w:r>
      <w:r w:rsidR="0020540A" w:rsidRPr="0012395A">
        <w:rPr>
          <w:rFonts w:ascii="Times New Roman" w:hAnsi="Times New Roman" w:cs="Times New Roman"/>
        </w:rPr>
        <w:t xml:space="preserve"> </w:t>
      </w:r>
      <w:r w:rsidR="00E85BCB" w:rsidRPr="0012395A">
        <w:rPr>
          <w:rFonts w:ascii="Times New Roman" w:hAnsi="Times New Roman" w:cs="Times New Roman"/>
        </w:rPr>
        <w:t xml:space="preserve"> </w:t>
      </w:r>
      <w:r w:rsidR="0045209A" w:rsidRPr="0012395A">
        <w:rPr>
          <w:rFonts w:ascii="Times New Roman" w:hAnsi="Times New Roman" w:cs="Times New Roman"/>
          <w:i/>
        </w:rPr>
        <w:t>GTE</w:t>
      </w:r>
      <w:r w:rsidR="0045209A" w:rsidRPr="0012395A">
        <w:rPr>
          <w:rFonts w:ascii="Times New Roman" w:hAnsi="Times New Roman" w:cs="Times New Roman"/>
        </w:rPr>
        <w:t xml:space="preserve"> </w:t>
      </w:r>
      <w:r w:rsidR="0045209A" w:rsidRPr="0012395A">
        <w:rPr>
          <w:rFonts w:ascii="Times New Roman" w:hAnsi="Times New Roman" w:cs="Times New Roman"/>
          <w:i/>
        </w:rPr>
        <w:t>Sylvania</w:t>
      </w:r>
      <w:r w:rsidR="0045209A" w:rsidRPr="0012395A">
        <w:rPr>
          <w:rFonts w:ascii="Times New Roman" w:hAnsi="Times New Roman" w:cs="Times New Roman"/>
        </w:rPr>
        <w:t xml:space="preserve"> was truly a watershed event, </w:t>
      </w:r>
      <w:r w:rsidR="00461468" w:rsidRPr="0012395A">
        <w:rPr>
          <w:rFonts w:ascii="Times New Roman" w:hAnsi="Times New Roman" w:cs="Times New Roman"/>
        </w:rPr>
        <w:t xml:space="preserve">which began a trend of </w:t>
      </w:r>
      <w:r w:rsidR="0045209A" w:rsidRPr="0012395A">
        <w:rPr>
          <w:rFonts w:ascii="Times New Roman" w:hAnsi="Times New Roman" w:cs="Times New Roman"/>
        </w:rPr>
        <w:t>the Court</w:t>
      </w:r>
      <w:r w:rsidR="00461468" w:rsidRPr="0012395A">
        <w:rPr>
          <w:rFonts w:ascii="Times New Roman" w:hAnsi="Times New Roman" w:cs="Times New Roman"/>
        </w:rPr>
        <w:t>’s</w:t>
      </w:r>
      <w:r w:rsidR="0045209A" w:rsidRPr="0012395A">
        <w:rPr>
          <w:rFonts w:ascii="Times New Roman" w:hAnsi="Times New Roman" w:cs="Times New Roman"/>
        </w:rPr>
        <w:t xml:space="preserve"> revisit</w:t>
      </w:r>
      <w:r w:rsidR="00461468" w:rsidRPr="0012395A">
        <w:rPr>
          <w:rFonts w:ascii="Times New Roman" w:hAnsi="Times New Roman" w:cs="Times New Roman"/>
        </w:rPr>
        <w:t xml:space="preserve">ing many </w:t>
      </w:r>
      <w:r w:rsidR="009003AC">
        <w:rPr>
          <w:rFonts w:ascii="Times New Roman" w:hAnsi="Times New Roman" w:cs="Times New Roman"/>
        </w:rPr>
        <w:t xml:space="preserve">of </w:t>
      </w:r>
      <w:proofErr w:type="gramStart"/>
      <w:r w:rsidR="009003AC">
        <w:rPr>
          <w:rFonts w:ascii="Times New Roman" w:hAnsi="Times New Roman" w:cs="Times New Roman"/>
        </w:rPr>
        <w:t>its</w:t>
      </w:r>
      <w:proofErr w:type="gramEnd"/>
      <w:r w:rsidR="009003AC">
        <w:rPr>
          <w:rFonts w:ascii="Times New Roman" w:hAnsi="Times New Roman" w:cs="Times New Roman"/>
        </w:rPr>
        <w:t xml:space="preserve"> </w:t>
      </w:r>
      <w:r w:rsidR="0045209A" w:rsidRPr="0012395A">
        <w:rPr>
          <w:rFonts w:ascii="Times New Roman" w:hAnsi="Times New Roman" w:cs="Times New Roman"/>
          <w:i/>
        </w:rPr>
        <w:t>per se</w:t>
      </w:r>
      <w:r w:rsidR="0045209A" w:rsidRPr="0012395A">
        <w:rPr>
          <w:rFonts w:ascii="Times New Roman" w:hAnsi="Times New Roman" w:cs="Times New Roman"/>
        </w:rPr>
        <w:t xml:space="preserve"> rules</w:t>
      </w:r>
      <w:r w:rsidR="00461468" w:rsidRPr="0012395A">
        <w:rPr>
          <w:rFonts w:ascii="Times New Roman" w:hAnsi="Times New Roman" w:cs="Times New Roman"/>
        </w:rPr>
        <w:t xml:space="preserve"> in search of concrete empirical justifications</w:t>
      </w:r>
      <w:r w:rsidR="0045209A" w:rsidRPr="0012395A">
        <w:rPr>
          <w:rFonts w:ascii="Times New Roman" w:hAnsi="Times New Roman" w:cs="Times New Roman"/>
        </w:rPr>
        <w:t>.</w:t>
      </w:r>
      <w:r w:rsidR="00461468" w:rsidRPr="0012395A">
        <w:rPr>
          <w:rFonts w:ascii="Times New Roman" w:hAnsi="Times New Roman" w:cs="Times New Roman"/>
        </w:rPr>
        <w:t xml:space="preserve">  Indeed</w:t>
      </w:r>
      <w:r w:rsidR="0045209A" w:rsidRPr="0012395A">
        <w:rPr>
          <w:rFonts w:ascii="Times New Roman" w:hAnsi="Times New Roman" w:cs="Times New Roman"/>
        </w:rPr>
        <w:t xml:space="preserve">, thirty years after </w:t>
      </w:r>
      <w:r w:rsidR="0045209A" w:rsidRPr="0012395A">
        <w:rPr>
          <w:rFonts w:ascii="Times New Roman" w:hAnsi="Times New Roman" w:cs="Times New Roman"/>
          <w:i/>
        </w:rPr>
        <w:t>GTE Sylvania</w:t>
      </w:r>
      <w:r w:rsidR="0045209A" w:rsidRPr="0012395A">
        <w:rPr>
          <w:rFonts w:ascii="Times New Roman" w:hAnsi="Times New Roman" w:cs="Times New Roman"/>
        </w:rPr>
        <w:t xml:space="preserve">, </w:t>
      </w:r>
      <w:proofErr w:type="spellStart"/>
      <w:r w:rsidR="00BE21E4" w:rsidRPr="0012395A">
        <w:rPr>
          <w:rFonts w:ascii="Times New Roman" w:hAnsi="Times New Roman" w:cs="Times New Roman"/>
          <w:i/>
        </w:rPr>
        <w:t>Leegin</w:t>
      </w:r>
      <w:proofErr w:type="spellEnd"/>
      <w:r w:rsidR="00BE21E4" w:rsidRPr="0012395A">
        <w:rPr>
          <w:rFonts w:ascii="Times New Roman" w:hAnsi="Times New Roman" w:cs="Times New Roman"/>
          <w:i/>
        </w:rPr>
        <w:t xml:space="preserve"> </w:t>
      </w:r>
      <w:r w:rsidR="00DF081C" w:rsidRPr="0012395A">
        <w:rPr>
          <w:rFonts w:ascii="Times New Roman" w:hAnsi="Times New Roman" w:cs="Times New Roman"/>
          <w:i/>
        </w:rPr>
        <w:t>Creative Leather Products, Inc. v. PSKS, Inc.</w:t>
      </w:r>
      <w:r w:rsidR="00DF081C" w:rsidRPr="0012395A">
        <w:rPr>
          <w:rFonts w:ascii="Times New Roman" w:hAnsi="Times New Roman" w:cs="Times New Roman"/>
        </w:rPr>
        <w:t xml:space="preserve"> </w:t>
      </w:r>
      <w:r w:rsidR="001F359D">
        <w:rPr>
          <w:rFonts w:ascii="Times New Roman" w:hAnsi="Times New Roman" w:cs="Times New Roman"/>
        </w:rPr>
        <w:t xml:space="preserve">held </w:t>
      </w:r>
      <w:r w:rsidR="0045209A" w:rsidRPr="0012395A">
        <w:rPr>
          <w:rFonts w:ascii="Times New Roman" w:hAnsi="Times New Roman" w:cs="Times New Roman"/>
        </w:rPr>
        <w:t xml:space="preserve">that </w:t>
      </w:r>
      <w:r w:rsidR="00BE21E4" w:rsidRPr="0012395A">
        <w:rPr>
          <w:rFonts w:ascii="Times New Roman" w:hAnsi="Times New Roman" w:cs="Times New Roman"/>
        </w:rPr>
        <w:t xml:space="preserve">minimum </w:t>
      </w:r>
      <w:r w:rsidR="00E117A7" w:rsidRPr="0012395A">
        <w:rPr>
          <w:rFonts w:ascii="Times New Roman" w:hAnsi="Times New Roman" w:cs="Times New Roman"/>
        </w:rPr>
        <w:t xml:space="preserve">resale price maintenance </w:t>
      </w:r>
      <w:r w:rsidR="00BE21E4" w:rsidRPr="0012395A">
        <w:rPr>
          <w:rFonts w:ascii="Times New Roman" w:hAnsi="Times New Roman" w:cs="Times New Roman"/>
        </w:rPr>
        <w:t xml:space="preserve">would be subject to the rule of reason, rather than the </w:t>
      </w:r>
      <w:r w:rsidR="00BE21E4" w:rsidRPr="0012395A">
        <w:rPr>
          <w:rFonts w:ascii="Times New Roman" w:hAnsi="Times New Roman" w:cs="Times New Roman"/>
          <w:i/>
        </w:rPr>
        <w:t xml:space="preserve">per se </w:t>
      </w:r>
      <w:r w:rsidR="00BE21E4" w:rsidRPr="0012395A">
        <w:rPr>
          <w:rFonts w:ascii="Times New Roman" w:hAnsi="Times New Roman" w:cs="Times New Roman"/>
        </w:rPr>
        <w:t xml:space="preserve">treatment that had applied </w:t>
      </w:r>
      <w:r w:rsidR="008D4D56">
        <w:rPr>
          <w:rFonts w:ascii="Times New Roman" w:hAnsi="Times New Roman" w:cs="Times New Roman"/>
        </w:rPr>
        <w:t xml:space="preserve">to </w:t>
      </w:r>
      <w:r w:rsidR="001F359D">
        <w:rPr>
          <w:rFonts w:ascii="Times New Roman" w:hAnsi="Times New Roman" w:cs="Times New Roman"/>
        </w:rPr>
        <w:t xml:space="preserve">that practice </w:t>
      </w:r>
      <w:r w:rsidR="00BE21E4" w:rsidRPr="0012395A">
        <w:rPr>
          <w:rFonts w:ascii="Times New Roman" w:hAnsi="Times New Roman" w:cs="Times New Roman"/>
        </w:rPr>
        <w:t>for nearly a century.</w:t>
      </w:r>
      <w:r w:rsidR="00E117A7" w:rsidRPr="0012395A">
        <w:rPr>
          <w:rStyle w:val="EndnoteReference"/>
          <w:rFonts w:ascii="Times New Roman" w:hAnsi="Times New Roman" w:cs="Times New Roman"/>
        </w:rPr>
        <w:endnoteReference w:id="7"/>
      </w:r>
      <w:r w:rsidR="00DF081C" w:rsidRPr="0012395A">
        <w:rPr>
          <w:rFonts w:ascii="Times New Roman" w:hAnsi="Times New Roman" w:cs="Times New Roman"/>
        </w:rPr>
        <w:t xml:space="preserve"> </w:t>
      </w:r>
      <w:r w:rsidR="00E117A7" w:rsidRPr="0012395A">
        <w:rPr>
          <w:rFonts w:ascii="Times New Roman" w:hAnsi="Times New Roman" w:cs="Times New Roman"/>
        </w:rPr>
        <w:t xml:space="preserve"> </w:t>
      </w:r>
      <w:r w:rsidR="0020540A" w:rsidRPr="0012395A">
        <w:rPr>
          <w:rFonts w:ascii="Times New Roman" w:hAnsi="Times New Roman" w:cs="Times New Roman"/>
        </w:rPr>
        <w:t xml:space="preserve">While </w:t>
      </w:r>
      <w:r w:rsidR="00E117A7" w:rsidRPr="0012395A">
        <w:rPr>
          <w:rFonts w:ascii="Times New Roman" w:hAnsi="Times New Roman" w:cs="Times New Roman"/>
          <w:i/>
        </w:rPr>
        <w:t xml:space="preserve">per se </w:t>
      </w:r>
      <w:r w:rsidR="00E117A7" w:rsidRPr="0012395A">
        <w:rPr>
          <w:rFonts w:ascii="Times New Roman" w:hAnsi="Times New Roman" w:cs="Times New Roman"/>
        </w:rPr>
        <w:t xml:space="preserve">prohibitions </w:t>
      </w:r>
      <w:r w:rsidR="0020540A" w:rsidRPr="0012395A">
        <w:rPr>
          <w:rFonts w:ascii="Times New Roman" w:hAnsi="Times New Roman" w:cs="Times New Roman"/>
        </w:rPr>
        <w:t>remain present in U.S. antitrust jurisprudence (</w:t>
      </w:r>
      <w:r w:rsidR="0020540A" w:rsidRPr="0012395A">
        <w:rPr>
          <w:rFonts w:ascii="Times New Roman" w:hAnsi="Times New Roman" w:cs="Times New Roman"/>
          <w:i/>
        </w:rPr>
        <w:t>e.g.</w:t>
      </w:r>
      <w:r w:rsidR="00BE21E4" w:rsidRPr="0012395A">
        <w:rPr>
          <w:rFonts w:ascii="Times New Roman" w:hAnsi="Times New Roman" w:cs="Times New Roman"/>
        </w:rPr>
        <w:t>,</w:t>
      </w:r>
      <w:r w:rsidR="0020540A" w:rsidRPr="0012395A">
        <w:rPr>
          <w:rFonts w:ascii="Times New Roman" w:hAnsi="Times New Roman" w:cs="Times New Roman"/>
        </w:rPr>
        <w:t xml:space="preserve"> horizontal price </w:t>
      </w:r>
      <w:r w:rsidR="002379C3" w:rsidRPr="0012395A">
        <w:rPr>
          <w:rFonts w:ascii="Times New Roman" w:hAnsi="Times New Roman" w:cs="Times New Roman"/>
        </w:rPr>
        <w:t>fixing, geographic market division, customer</w:t>
      </w:r>
      <w:r w:rsidR="0020540A" w:rsidRPr="0012395A">
        <w:rPr>
          <w:rFonts w:ascii="Times New Roman" w:hAnsi="Times New Roman" w:cs="Times New Roman"/>
        </w:rPr>
        <w:t xml:space="preserve"> allocation</w:t>
      </w:r>
      <w:r w:rsidR="002379C3" w:rsidRPr="0012395A">
        <w:rPr>
          <w:rFonts w:ascii="Times New Roman" w:hAnsi="Times New Roman" w:cs="Times New Roman"/>
        </w:rPr>
        <w:t>, output redu</w:t>
      </w:r>
      <w:r w:rsidR="0020540A" w:rsidRPr="0012395A">
        <w:rPr>
          <w:rFonts w:ascii="Times New Roman" w:hAnsi="Times New Roman" w:cs="Times New Roman"/>
        </w:rPr>
        <w:t>ction, group boycotts</w:t>
      </w:r>
      <w:r w:rsidR="00DF081C" w:rsidRPr="0012395A">
        <w:rPr>
          <w:rFonts w:ascii="Times New Roman" w:hAnsi="Times New Roman" w:cs="Times New Roman"/>
        </w:rPr>
        <w:t>)</w:t>
      </w:r>
      <w:r w:rsidR="001F359D">
        <w:rPr>
          <w:rFonts w:ascii="Times New Roman" w:hAnsi="Times New Roman" w:cs="Times New Roman"/>
        </w:rPr>
        <w:t>,</w:t>
      </w:r>
      <w:r w:rsidR="0020540A" w:rsidRPr="0012395A">
        <w:rPr>
          <w:rFonts w:ascii="Times New Roman" w:hAnsi="Times New Roman" w:cs="Times New Roman"/>
        </w:rPr>
        <w:t xml:space="preserve"> the </w:t>
      </w:r>
      <w:r w:rsidR="00BE21E4" w:rsidRPr="0012395A">
        <w:rPr>
          <w:rFonts w:ascii="Times New Roman" w:hAnsi="Times New Roman" w:cs="Times New Roman"/>
        </w:rPr>
        <w:t>Court has been explicit in favoring a nuanced approach</w:t>
      </w:r>
      <w:r w:rsidR="00461468" w:rsidRPr="0012395A">
        <w:rPr>
          <w:rFonts w:ascii="Times New Roman" w:hAnsi="Times New Roman" w:cs="Times New Roman"/>
        </w:rPr>
        <w:t xml:space="preserve"> in applying them</w:t>
      </w:r>
      <w:r w:rsidR="00BE21E4" w:rsidRPr="0012395A">
        <w:rPr>
          <w:rFonts w:ascii="Times New Roman" w:hAnsi="Times New Roman" w:cs="Times New Roman"/>
        </w:rPr>
        <w:t xml:space="preserve">. </w:t>
      </w:r>
      <w:r w:rsidR="00DF081C" w:rsidRPr="0012395A">
        <w:rPr>
          <w:rFonts w:ascii="Times New Roman" w:hAnsi="Times New Roman" w:cs="Times New Roman"/>
        </w:rPr>
        <w:t xml:space="preserve"> </w:t>
      </w:r>
      <w:r w:rsidR="0012395A" w:rsidRPr="0012395A">
        <w:rPr>
          <w:rFonts w:ascii="Times New Roman" w:hAnsi="Times New Roman" w:cs="Times New Roman"/>
        </w:rPr>
        <w:t>To be sure</w:t>
      </w:r>
      <w:r w:rsidR="00BE21E4" w:rsidRPr="0012395A">
        <w:rPr>
          <w:rFonts w:ascii="Times New Roman" w:hAnsi="Times New Roman" w:cs="Times New Roman"/>
        </w:rPr>
        <w:t xml:space="preserve">, </w:t>
      </w:r>
      <w:r w:rsidR="00BE21E4" w:rsidRPr="0012395A">
        <w:rPr>
          <w:rFonts w:ascii="Times New Roman" w:hAnsi="Times New Roman" w:cs="Times New Roman"/>
          <w:i/>
        </w:rPr>
        <w:t xml:space="preserve">per se </w:t>
      </w:r>
      <w:r w:rsidR="0012395A" w:rsidRPr="0012395A">
        <w:rPr>
          <w:rFonts w:ascii="Times New Roman" w:hAnsi="Times New Roman" w:cs="Times New Roman"/>
        </w:rPr>
        <w:t>treatment is alive and well</w:t>
      </w:r>
      <w:r w:rsidR="00BE21E4" w:rsidRPr="0012395A">
        <w:rPr>
          <w:rFonts w:ascii="Times New Roman" w:hAnsi="Times New Roman" w:cs="Times New Roman"/>
        </w:rPr>
        <w:t xml:space="preserve"> but the </w:t>
      </w:r>
      <w:r w:rsidR="0012395A" w:rsidRPr="0012395A">
        <w:rPr>
          <w:rFonts w:ascii="Times New Roman" w:hAnsi="Times New Roman" w:cs="Times New Roman"/>
        </w:rPr>
        <w:t xml:space="preserve">Supreme </w:t>
      </w:r>
      <w:r w:rsidR="00BE21E4" w:rsidRPr="0012395A">
        <w:rPr>
          <w:rFonts w:ascii="Times New Roman" w:hAnsi="Times New Roman" w:cs="Times New Roman"/>
        </w:rPr>
        <w:t xml:space="preserve">Court is on guard against excessive formalism and therefore avoids </w:t>
      </w:r>
      <w:r w:rsidR="009F16A6" w:rsidRPr="0012395A">
        <w:rPr>
          <w:rFonts w:ascii="Times New Roman" w:hAnsi="Times New Roman" w:cs="Times New Roman"/>
        </w:rPr>
        <w:t xml:space="preserve">use of presumptions </w:t>
      </w:r>
      <w:r w:rsidR="001F359D">
        <w:rPr>
          <w:rFonts w:ascii="Times New Roman" w:hAnsi="Times New Roman" w:cs="Times New Roman"/>
        </w:rPr>
        <w:t xml:space="preserve">where possible—and </w:t>
      </w:r>
      <w:r w:rsidR="00DF081C" w:rsidRPr="0012395A">
        <w:rPr>
          <w:rFonts w:ascii="Times New Roman" w:hAnsi="Times New Roman" w:cs="Times New Roman"/>
        </w:rPr>
        <w:t xml:space="preserve">is </w:t>
      </w:r>
      <w:r w:rsidR="009F16A6" w:rsidRPr="0012395A">
        <w:rPr>
          <w:rFonts w:ascii="Times New Roman" w:hAnsi="Times New Roman" w:cs="Times New Roman"/>
        </w:rPr>
        <w:t xml:space="preserve">willing to overrule them </w:t>
      </w:r>
      <w:r w:rsidR="0012395A" w:rsidRPr="0012395A">
        <w:rPr>
          <w:rFonts w:ascii="Times New Roman" w:hAnsi="Times New Roman" w:cs="Times New Roman"/>
        </w:rPr>
        <w:t>and the</w:t>
      </w:r>
      <w:r w:rsidR="003E0C96">
        <w:rPr>
          <w:rFonts w:ascii="Times New Roman" w:hAnsi="Times New Roman" w:cs="Times New Roman"/>
        </w:rPr>
        <w:t>ir</w:t>
      </w:r>
      <w:r w:rsidR="0012395A" w:rsidRPr="0012395A">
        <w:rPr>
          <w:rFonts w:ascii="Times New Roman" w:hAnsi="Times New Roman" w:cs="Times New Roman"/>
        </w:rPr>
        <w:t xml:space="preserve"> </w:t>
      </w:r>
      <w:r w:rsidR="001F359D">
        <w:rPr>
          <w:rFonts w:ascii="Times New Roman" w:hAnsi="Times New Roman" w:cs="Times New Roman"/>
        </w:rPr>
        <w:t xml:space="preserve">corresponding </w:t>
      </w:r>
      <w:r w:rsidR="0012395A" w:rsidRPr="0012395A">
        <w:rPr>
          <w:rFonts w:ascii="Times New Roman" w:hAnsi="Times New Roman" w:cs="Times New Roman"/>
          <w:i/>
        </w:rPr>
        <w:t xml:space="preserve">per </w:t>
      </w:r>
      <w:r w:rsidR="0012395A" w:rsidRPr="0012395A">
        <w:rPr>
          <w:rFonts w:ascii="Times New Roman" w:hAnsi="Times New Roman" w:cs="Times New Roman"/>
        </w:rPr>
        <w:t xml:space="preserve">se rules </w:t>
      </w:r>
      <w:r w:rsidR="009F16A6" w:rsidRPr="0012395A">
        <w:rPr>
          <w:rFonts w:ascii="Times New Roman" w:hAnsi="Times New Roman" w:cs="Times New Roman"/>
        </w:rPr>
        <w:t xml:space="preserve">when </w:t>
      </w:r>
      <w:r w:rsidR="0012395A" w:rsidRPr="0012395A">
        <w:rPr>
          <w:rFonts w:ascii="Times New Roman" w:hAnsi="Times New Roman" w:cs="Times New Roman"/>
        </w:rPr>
        <w:t xml:space="preserve">no longer </w:t>
      </w:r>
      <w:r w:rsidR="001F359D">
        <w:rPr>
          <w:rFonts w:ascii="Times New Roman" w:hAnsi="Times New Roman" w:cs="Times New Roman"/>
        </w:rPr>
        <w:t>justifiable (e.g., in light of economic theory and data)</w:t>
      </w:r>
      <w:r w:rsidR="009F16A6" w:rsidRPr="0012395A">
        <w:rPr>
          <w:rFonts w:ascii="Times New Roman" w:hAnsi="Times New Roman" w:cs="Times New Roman"/>
        </w:rPr>
        <w:t>.</w:t>
      </w:r>
      <w:r w:rsidR="009F16A6" w:rsidRPr="0012395A">
        <w:rPr>
          <w:rStyle w:val="EndnoteReference"/>
          <w:rFonts w:ascii="Times New Roman" w:hAnsi="Times New Roman" w:cs="Times New Roman"/>
        </w:rPr>
        <w:endnoteReference w:id="8"/>
      </w:r>
    </w:p>
    <w:p w14:paraId="62485848" w14:textId="0A8EB297" w:rsidR="009D6702" w:rsidRPr="0012395A" w:rsidRDefault="003E0C96" w:rsidP="00864B96">
      <w:pPr>
        <w:spacing w:line="480" w:lineRule="auto"/>
        <w:rPr>
          <w:rFonts w:ascii="Times New Roman" w:hAnsi="Times New Roman" w:cs="Times New Roman"/>
          <w:b/>
        </w:rPr>
      </w:pPr>
      <w:r>
        <w:rPr>
          <w:rFonts w:ascii="Times New Roman" w:hAnsi="Times New Roman" w:cs="Times New Roman"/>
          <w:b/>
          <w:i/>
        </w:rPr>
        <w:t>Per s</w:t>
      </w:r>
      <w:r w:rsidR="001F359D" w:rsidRPr="003E0C96">
        <w:rPr>
          <w:rFonts w:ascii="Times New Roman" w:hAnsi="Times New Roman" w:cs="Times New Roman"/>
          <w:b/>
          <w:i/>
        </w:rPr>
        <w:t>e</w:t>
      </w:r>
      <w:r w:rsidR="009D6702" w:rsidRPr="003E0C96">
        <w:rPr>
          <w:rFonts w:ascii="Times New Roman" w:hAnsi="Times New Roman" w:cs="Times New Roman"/>
          <w:b/>
          <w:i/>
        </w:rPr>
        <w:t xml:space="preserve"> </w:t>
      </w:r>
      <w:r w:rsidR="009D6702" w:rsidRPr="0012395A">
        <w:rPr>
          <w:rFonts w:ascii="Times New Roman" w:hAnsi="Times New Roman" w:cs="Times New Roman"/>
          <w:b/>
        </w:rPr>
        <w:t>Rules</w:t>
      </w:r>
      <w:r w:rsidR="00691782">
        <w:rPr>
          <w:rFonts w:ascii="Times New Roman" w:hAnsi="Times New Roman" w:cs="Times New Roman"/>
          <w:b/>
        </w:rPr>
        <w:t xml:space="preserve"> in the EU</w:t>
      </w:r>
      <w:r w:rsidR="001F359D">
        <w:rPr>
          <w:rFonts w:ascii="Times New Roman" w:hAnsi="Times New Roman" w:cs="Times New Roman"/>
          <w:b/>
        </w:rPr>
        <w:t>?</w:t>
      </w:r>
    </w:p>
    <w:p w14:paraId="2B61887A" w14:textId="062413B7" w:rsidR="008C0185" w:rsidRPr="0012395A" w:rsidRDefault="009D6702" w:rsidP="00864B96">
      <w:pPr>
        <w:spacing w:line="480" w:lineRule="auto"/>
        <w:rPr>
          <w:rFonts w:ascii="Times New Roman" w:hAnsi="Times New Roman" w:cs="Times New Roman"/>
        </w:rPr>
      </w:pPr>
      <w:r w:rsidRPr="0012395A">
        <w:rPr>
          <w:rFonts w:ascii="Times New Roman" w:hAnsi="Times New Roman" w:cs="Times New Roman"/>
        </w:rPr>
        <w:lastRenderedPageBreak/>
        <w:tab/>
      </w:r>
      <w:hyperlink r:id="rId8" w:history="1">
        <w:r w:rsidR="003C6FEF" w:rsidRPr="0012395A">
          <w:rPr>
            <w:rStyle w:val="Hyperlink"/>
            <w:rFonts w:ascii="Times New Roman" w:hAnsi="Times New Roman" w:cs="Times New Roman"/>
          </w:rPr>
          <w:t>A</w:t>
        </w:r>
        <w:r w:rsidR="00213A06">
          <w:rPr>
            <w:rStyle w:val="Hyperlink"/>
            <w:rFonts w:ascii="Times New Roman" w:hAnsi="Times New Roman" w:cs="Times New Roman"/>
          </w:rPr>
          <w:t>rt.</w:t>
        </w:r>
        <w:r w:rsidRPr="0012395A">
          <w:rPr>
            <w:rStyle w:val="Hyperlink"/>
            <w:rFonts w:ascii="Times New Roman" w:hAnsi="Times New Roman" w:cs="Times New Roman"/>
          </w:rPr>
          <w:t xml:space="preserve"> 101</w:t>
        </w:r>
        <w:r w:rsidR="00562185" w:rsidRPr="0012395A">
          <w:rPr>
            <w:rStyle w:val="Hyperlink"/>
            <w:rFonts w:ascii="Times New Roman" w:hAnsi="Times New Roman" w:cs="Times New Roman"/>
          </w:rPr>
          <w:t>(1)</w:t>
        </w:r>
        <w:r w:rsidRPr="0012395A">
          <w:rPr>
            <w:rStyle w:val="Hyperlink"/>
            <w:rFonts w:ascii="Times New Roman" w:hAnsi="Times New Roman" w:cs="Times New Roman"/>
          </w:rPr>
          <w:t xml:space="preserve"> of the T</w:t>
        </w:r>
        <w:r w:rsidR="00FE2582">
          <w:rPr>
            <w:rStyle w:val="Hyperlink"/>
            <w:rFonts w:ascii="Times New Roman" w:hAnsi="Times New Roman" w:cs="Times New Roman"/>
          </w:rPr>
          <w:t xml:space="preserve">reaty on the </w:t>
        </w:r>
        <w:r w:rsidRPr="0012395A">
          <w:rPr>
            <w:rStyle w:val="Hyperlink"/>
            <w:rFonts w:ascii="Times New Roman" w:hAnsi="Times New Roman" w:cs="Times New Roman"/>
          </w:rPr>
          <w:t>F</w:t>
        </w:r>
        <w:r w:rsidR="00FE2582">
          <w:rPr>
            <w:rStyle w:val="Hyperlink"/>
            <w:rFonts w:ascii="Times New Roman" w:hAnsi="Times New Roman" w:cs="Times New Roman"/>
          </w:rPr>
          <w:t xml:space="preserve">unctioning of the </w:t>
        </w:r>
        <w:r w:rsidRPr="0012395A">
          <w:rPr>
            <w:rStyle w:val="Hyperlink"/>
            <w:rFonts w:ascii="Times New Roman" w:hAnsi="Times New Roman" w:cs="Times New Roman"/>
          </w:rPr>
          <w:t>E</w:t>
        </w:r>
        <w:r w:rsidR="00FE2582">
          <w:rPr>
            <w:rStyle w:val="Hyperlink"/>
            <w:rFonts w:ascii="Times New Roman" w:hAnsi="Times New Roman" w:cs="Times New Roman"/>
          </w:rPr>
          <w:t xml:space="preserve">uropean </w:t>
        </w:r>
        <w:r w:rsidRPr="0012395A">
          <w:rPr>
            <w:rStyle w:val="Hyperlink"/>
            <w:rFonts w:ascii="Times New Roman" w:hAnsi="Times New Roman" w:cs="Times New Roman"/>
          </w:rPr>
          <w:t>U</w:t>
        </w:r>
      </w:hyperlink>
      <w:r w:rsidR="00FE2582">
        <w:rPr>
          <w:rStyle w:val="Hyperlink"/>
          <w:rFonts w:ascii="Times New Roman" w:hAnsi="Times New Roman" w:cs="Times New Roman"/>
        </w:rPr>
        <w:t>nion</w:t>
      </w:r>
      <w:r w:rsidRPr="0012395A">
        <w:rPr>
          <w:rFonts w:ascii="Times New Roman" w:hAnsi="Times New Roman" w:cs="Times New Roman"/>
        </w:rPr>
        <w:t xml:space="preserve"> </w:t>
      </w:r>
      <w:r w:rsidR="00FE2582">
        <w:rPr>
          <w:rFonts w:ascii="Times New Roman" w:hAnsi="Times New Roman" w:cs="Times New Roman"/>
        </w:rPr>
        <w:t xml:space="preserve">(“TFEU”) </w:t>
      </w:r>
      <w:r w:rsidR="00163B77" w:rsidRPr="0012395A">
        <w:rPr>
          <w:rFonts w:ascii="Times New Roman" w:hAnsi="Times New Roman" w:cs="Times New Roman"/>
        </w:rPr>
        <w:t xml:space="preserve">includes </w:t>
      </w:r>
      <w:r w:rsidR="003C6FEF" w:rsidRPr="0012395A">
        <w:rPr>
          <w:rFonts w:ascii="Times New Roman" w:hAnsi="Times New Roman" w:cs="Times New Roman"/>
        </w:rPr>
        <w:t xml:space="preserve">a different approach </w:t>
      </w:r>
      <w:r w:rsidR="00163B77" w:rsidRPr="0012395A">
        <w:rPr>
          <w:rFonts w:ascii="Times New Roman" w:hAnsi="Times New Roman" w:cs="Times New Roman"/>
        </w:rPr>
        <w:t xml:space="preserve">than the Sherman Act in its proscriptions against </w:t>
      </w:r>
      <w:r w:rsidR="003C6FEF" w:rsidRPr="0012395A">
        <w:rPr>
          <w:rFonts w:ascii="Times New Roman" w:hAnsi="Times New Roman" w:cs="Times New Roman"/>
        </w:rPr>
        <w:t>anticompetitive behavior.</w:t>
      </w:r>
      <w:r w:rsidR="00163B77" w:rsidRPr="0012395A">
        <w:rPr>
          <w:rFonts w:ascii="Times New Roman" w:hAnsi="Times New Roman" w:cs="Times New Roman"/>
        </w:rPr>
        <w:t xml:space="preserve"> </w:t>
      </w:r>
      <w:r w:rsidR="003C6FEF" w:rsidRPr="0012395A">
        <w:rPr>
          <w:rFonts w:ascii="Times New Roman" w:hAnsi="Times New Roman" w:cs="Times New Roman"/>
        </w:rPr>
        <w:t xml:space="preserve"> </w:t>
      </w:r>
      <w:proofErr w:type="gramStart"/>
      <w:r w:rsidR="00562185" w:rsidRPr="0012395A">
        <w:rPr>
          <w:rFonts w:ascii="Times New Roman" w:hAnsi="Times New Roman" w:cs="Times New Roman"/>
        </w:rPr>
        <w:t>T</w:t>
      </w:r>
      <w:r w:rsidR="003C6FEF" w:rsidRPr="0012395A">
        <w:rPr>
          <w:rFonts w:ascii="Times New Roman" w:hAnsi="Times New Roman" w:cs="Times New Roman"/>
        </w:rPr>
        <w:t xml:space="preserve">he first portion </w:t>
      </w:r>
      <w:r w:rsidR="00562185" w:rsidRPr="0012395A">
        <w:rPr>
          <w:rFonts w:ascii="Times New Roman" w:hAnsi="Times New Roman" w:cs="Times New Roman"/>
        </w:rPr>
        <w:t>of</w:t>
      </w:r>
      <w:r w:rsidR="00CE15BC">
        <w:rPr>
          <w:rFonts w:ascii="Times New Roman" w:hAnsi="Times New Roman" w:cs="Times New Roman"/>
        </w:rPr>
        <w:t xml:space="preserve"> Art.</w:t>
      </w:r>
      <w:proofErr w:type="gramEnd"/>
      <w:r w:rsidR="00CE15BC">
        <w:rPr>
          <w:rFonts w:ascii="Times New Roman" w:hAnsi="Times New Roman" w:cs="Times New Roman"/>
        </w:rPr>
        <w:t xml:space="preserve"> 101</w:t>
      </w:r>
      <w:r w:rsidR="00562185" w:rsidRPr="0012395A">
        <w:rPr>
          <w:rFonts w:ascii="Times New Roman" w:hAnsi="Times New Roman" w:cs="Times New Roman"/>
        </w:rPr>
        <w:t xml:space="preserve"> </w:t>
      </w:r>
      <w:r w:rsidR="003C6FEF" w:rsidRPr="0012395A">
        <w:rPr>
          <w:rFonts w:ascii="Times New Roman" w:hAnsi="Times New Roman" w:cs="Times New Roman"/>
        </w:rPr>
        <w:t xml:space="preserve">is arguably similar to </w:t>
      </w:r>
      <w:r w:rsidR="00562185" w:rsidRPr="0012395A">
        <w:rPr>
          <w:rFonts w:ascii="Times New Roman" w:hAnsi="Times New Roman" w:cs="Times New Roman"/>
        </w:rPr>
        <w:t xml:space="preserve">Sherman Act § 1 </w:t>
      </w:r>
      <w:r w:rsidR="003C6FEF" w:rsidRPr="0012395A">
        <w:rPr>
          <w:rFonts w:ascii="Times New Roman" w:hAnsi="Times New Roman" w:cs="Times New Roman"/>
        </w:rPr>
        <w:t>in that it prohibits “agreements between undertakings, decisions by associations of undertakings and concerted practices which may affect trade between Member States and which have as their object or effect the prevention, restriction or distortion of competition.”</w:t>
      </w:r>
      <w:r w:rsidR="008A1BEC" w:rsidRPr="0012395A">
        <w:rPr>
          <w:rFonts w:ascii="Times New Roman" w:hAnsi="Times New Roman" w:cs="Times New Roman"/>
        </w:rPr>
        <w:t xml:space="preserve">  </w:t>
      </w:r>
      <w:r w:rsidR="00163B77" w:rsidRPr="0012395A">
        <w:rPr>
          <w:rFonts w:ascii="Times New Roman" w:hAnsi="Times New Roman" w:cs="Times New Roman"/>
        </w:rPr>
        <w:t>Subsections (a-e</w:t>
      </w:r>
      <w:r w:rsidR="003E0C96">
        <w:rPr>
          <w:rFonts w:ascii="Times New Roman" w:hAnsi="Times New Roman" w:cs="Times New Roman"/>
        </w:rPr>
        <w:t xml:space="preserve">) </w:t>
      </w:r>
      <w:r w:rsidR="00BE21E4" w:rsidRPr="0012395A">
        <w:rPr>
          <w:rFonts w:ascii="Times New Roman" w:hAnsi="Times New Roman" w:cs="Times New Roman"/>
        </w:rPr>
        <w:t xml:space="preserve">provide examples of five </w:t>
      </w:r>
      <w:r w:rsidRPr="0012395A">
        <w:rPr>
          <w:rFonts w:ascii="Times New Roman" w:hAnsi="Times New Roman" w:cs="Times New Roman"/>
        </w:rPr>
        <w:t xml:space="preserve">types of behavior that </w:t>
      </w:r>
      <w:r w:rsidR="009F22D0" w:rsidRPr="0012395A">
        <w:rPr>
          <w:rFonts w:ascii="Times New Roman" w:hAnsi="Times New Roman" w:cs="Times New Roman"/>
        </w:rPr>
        <w:t xml:space="preserve">explicitly </w:t>
      </w:r>
      <w:r w:rsidR="00BE21E4" w:rsidRPr="0012395A">
        <w:rPr>
          <w:rFonts w:ascii="Times New Roman" w:hAnsi="Times New Roman" w:cs="Times New Roman"/>
        </w:rPr>
        <w:t>fall within Art. 101(1)</w:t>
      </w:r>
      <w:r w:rsidR="00163B77" w:rsidRPr="0012395A">
        <w:rPr>
          <w:rFonts w:ascii="Times New Roman" w:hAnsi="Times New Roman" w:cs="Times New Roman"/>
        </w:rPr>
        <w:t>: (a)</w:t>
      </w:r>
      <w:r w:rsidR="003C6FEF" w:rsidRPr="0012395A">
        <w:rPr>
          <w:rFonts w:ascii="Times New Roman" w:hAnsi="Times New Roman" w:cs="Times New Roman"/>
        </w:rPr>
        <w:t xml:space="preserve"> price fixing</w:t>
      </w:r>
      <w:r w:rsidR="00163B77" w:rsidRPr="0012395A">
        <w:rPr>
          <w:rFonts w:ascii="Times New Roman" w:hAnsi="Times New Roman" w:cs="Times New Roman"/>
        </w:rPr>
        <w:t>;</w:t>
      </w:r>
      <w:r w:rsidR="003C6FEF" w:rsidRPr="0012395A">
        <w:rPr>
          <w:rFonts w:ascii="Times New Roman" w:hAnsi="Times New Roman" w:cs="Times New Roman"/>
        </w:rPr>
        <w:t xml:space="preserve"> </w:t>
      </w:r>
      <w:r w:rsidR="00163B77" w:rsidRPr="0012395A">
        <w:rPr>
          <w:rFonts w:ascii="Times New Roman" w:hAnsi="Times New Roman" w:cs="Times New Roman"/>
        </w:rPr>
        <w:t xml:space="preserve">(b) </w:t>
      </w:r>
      <w:r w:rsidR="003C6FEF" w:rsidRPr="0012395A">
        <w:rPr>
          <w:rFonts w:ascii="Times New Roman" w:hAnsi="Times New Roman" w:cs="Times New Roman"/>
        </w:rPr>
        <w:t>output controls</w:t>
      </w:r>
      <w:r w:rsidR="00163B77" w:rsidRPr="0012395A">
        <w:rPr>
          <w:rFonts w:ascii="Times New Roman" w:hAnsi="Times New Roman" w:cs="Times New Roman"/>
        </w:rPr>
        <w:t>;</w:t>
      </w:r>
      <w:r w:rsidR="003C6FEF" w:rsidRPr="0012395A">
        <w:rPr>
          <w:rFonts w:ascii="Times New Roman" w:hAnsi="Times New Roman" w:cs="Times New Roman"/>
        </w:rPr>
        <w:t xml:space="preserve"> </w:t>
      </w:r>
      <w:r w:rsidR="00163B77" w:rsidRPr="0012395A">
        <w:rPr>
          <w:rFonts w:ascii="Times New Roman" w:hAnsi="Times New Roman" w:cs="Times New Roman"/>
        </w:rPr>
        <w:t xml:space="preserve">(c) </w:t>
      </w:r>
      <w:r w:rsidR="003C6FEF" w:rsidRPr="0012395A">
        <w:rPr>
          <w:rFonts w:ascii="Times New Roman" w:hAnsi="Times New Roman" w:cs="Times New Roman"/>
        </w:rPr>
        <w:t>market allocation</w:t>
      </w:r>
      <w:r w:rsidR="00163B77" w:rsidRPr="0012395A">
        <w:rPr>
          <w:rFonts w:ascii="Times New Roman" w:hAnsi="Times New Roman" w:cs="Times New Roman"/>
        </w:rPr>
        <w:t>;</w:t>
      </w:r>
      <w:r w:rsidR="003C6FEF" w:rsidRPr="0012395A">
        <w:rPr>
          <w:rFonts w:ascii="Times New Roman" w:hAnsi="Times New Roman" w:cs="Times New Roman"/>
        </w:rPr>
        <w:t xml:space="preserve"> </w:t>
      </w:r>
      <w:r w:rsidR="00163B77" w:rsidRPr="0012395A">
        <w:rPr>
          <w:rFonts w:ascii="Times New Roman" w:hAnsi="Times New Roman" w:cs="Times New Roman"/>
        </w:rPr>
        <w:t xml:space="preserve">(d) </w:t>
      </w:r>
      <w:r w:rsidR="003C6FEF" w:rsidRPr="0012395A">
        <w:rPr>
          <w:rFonts w:ascii="Times New Roman" w:hAnsi="Times New Roman" w:cs="Times New Roman"/>
        </w:rPr>
        <w:t>applying dissimilar conditions</w:t>
      </w:r>
      <w:r w:rsidR="008E1430">
        <w:rPr>
          <w:rFonts w:ascii="Times New Roman" w:hAnsi="Times New Roman" w:cs="Times New Roman"/>
        </w:rPr>
        <w:t xml:space="preserve"> to similar transactions</w:t>
      </w:r>
      <w:r w:rsidR="00163B77" w:rsidRPr="0012395A">
        <w:rPr>
          <w:rFonts w:ascii="Times New Roman" w:hAnsi="Times New Roman" w:cs="Times New Roman"/>
        </w:rPr>
        <w:t>;</w:t>
      </w:r>
      <w:r w:rsidR="003C6FEF" w:rsidRPr="0012395A">
        <w:rPr>
          <w:rFonts w:ascii="Times New Roman" w:hAnsi="Times New Roman" w:cs="Times New Roman"/>
        </w:rPr>
        <w:t xml:space="preserve"> and </w:t>
      </w:r>
      <w:r w:rsidR="00163B77" w:rsidRPr="0012395A">
        <w:rPr>
          <w:rFonts w:ascii="Times New Roman" w:hAnsi="Times New Roman" w:cs="Times New Roman"/>
        </w:rPr>
        <w:t xml:space="preserve">(e) </w:t>
      </w:r>
      <w:r w:rsidR="003C6FEF" w:rsidRPr="0012395A">
        <w:rPr>
          <w:rFonts w:ascii="Times New Roman" w:hAnsi="Times New Roman" w:cs="Times New Roman"/>
        </w:rPr>
        <w:t>tying</w:t>
      </w:r>
      <w:r w:rsidR="0012395A">
        <w:rPr>
          <w:rFonts w:ascii="Times New Roman" w:hAnsi="Times New Roman" w:cs="Times New Roman"/>
        </w:rPr>
        <w:t>.</w:t>
      </w:r>
      <w:r w:rsidR="008C0185" w:rsidRPr="0012395A">
        <w:rPr>
          <w:rFonts w:ascii="Times New Roman" w:hAnsi="Times New Roman" w:cs="Times New Roman"/>
        </w:rPr>
        <w:t xml:space="preserve"> </w:t>
      </w:r>
    </w:p>
    <w:p w14:paraId="3F99D42F" w14:textId="1258E259" w:rsidR="009D6702" w:rsidRPr="0012395A" w:rsidRDefault="00163B77" w:rsidP="00864B96">
      <w:pPr>
        <w:spacing w:line="480" w:lineRule="auto"/>
        <w:ind w:firstLine="720"/>
        <w:rPr>
          <w:rFonts w:ascii="Times New Roman" w:hAnsi="Times New Roman" w:cs="Times New Roman"/>
        </w:rPr>
      </w:pPr>
      <w:r w:rsidRPr="0012395A">
        <w:rPr>
          <w:rFonts w:ascii="Times New Roman" w:hAnsi="Times New Roman" w:cs="Times New Roman"/>
        </w:rPr>
        <w:t>While t</w:t>
      </w:r>
      <w:r w:rsidR="00035E97" w:rsidRPr="0012395A">
        <w:rPr>
          <w:rFonts w:ascii="Times New Roman" w:hAnsi="Times New Roman" w:cs="Times New Roman"/>
        </w:rPr>
        <w:t>his</w:t>
      </w:r>
      <w:r w:rsidR="00562185" w:rsidRPr="0012395A">
        <w:rPr>
          <w:rFonts w:ascii="Times New Roman" w:hAnsi="Times New Roman" w:cs="Times New Roman"/>
        </w:rPr>
        <w:t xml:space="preserve"> </w:t>
      </w:r>
      <w:r w:rsidR="00035E97" w:rsidRPr="0012395A">
        <w:rPr>
          <w:rFonts w:ascii="Times New Roman" w:hAnsi="Times New Roman" w:cs="Times New Roman"/>
        </w:rPr>
        <w:t xml:space="preserve">non-exhaustive list of </w:t>
      </w:r>
      <w:r w:rsidR="00AE7A97" w:rsidRPr="0012395A">
        <w:rPr>
          <w:rFonts w:ascii="Times New Roman" w:hAnsi="Times New Roman" w:cs="Times New Roman"/>
        </w:rPr>
        <w:t>examples m</w:t>
      </w:r>
      <w:r w:rsidR="0069792D" w:rsidRPr="0012395A">
        <w:rPr>
          <w:rFonts w:ascii="Times New Roman" w:hAnsi="Times New Roman" w:cs="Times New Roman"/>
        </w:rPr>
        <w:t>ay</w:t>
      </w:r>
      <w:r w:rsidR="00AE7A97" w:rsidRPr="0012395A">
        <w:rPr>
          <w:rFonts w:ascii="Times New Roman" w:hAnsi="Times New Roman" w:cs="Times New Roman"/>
        </w:rPr>
        <w:t xml:space="preserve"> imply</w:t>
      </w:r>
      <w:r w:rsidR="00001085" w:rsidRPr="0012395A">
        <w:rPr>
          <w:rFonts w:ascii="Times New Roman" w:hAnsi="Times New Roman" w:cs="Times New Roman"/>
        </w:rPr>
        <w:t xml:space="preserve"> </w:t>
      </w:r>
      <w:r w:rsidRPr="0012395A">
        <w:rPr>
          <w:rFonts w:ascii="Times New Roman" w:hAnsi="Times New Roman" w:cs="Times New Roman"/>
        </w:rPr>
        <w:t xml:space="preserve">that </w:t>
      </w:r>
      <w:r w:rsidR="003C6FEF" w:rsidRPr="0012395A">
        <w:rPr>
          <w:rFonts w:ascii="Times New Roman" w:hAnsi="Times New Roman" w:cs="Times New Roman"/>
          <w:i/>
        </w:rPr>
        <w:t>per se</w:t>
      </w:r>
      <w:r w:rsidR="003C6FEF" w:rsidRPr="0012395A">
        <w:rPr>
          <w:rFonts w:ascii="Times New Roman" w:hAnsi="Times New Roman" w:cs="Times New Roman"/>
        </w:rPr>
        <w:t xml:space="preserve"> rules </w:t>
      </w:r>
      <w:r w:rsidRPr="0012395A">
        <w:rPr>
          <w:rFonts w:ascii="Times New Roman" w:hAnsi="Times New Roman" w:cs="Times New Roman"/>
        </w:rPr>
        <w:t xml:space="preserve">explicitly exist within </w:t>
      </w:r>
      <w:r w:rsidR="003C6FEF" w:rsidRPr="0012395A">
        <w:rPr>
          <w:rFonts w:ascii="Times New Roman" w:hAnsi="Times New Roman" w:cs="Times New Roman"/>
        </w:rPr>
        <w:t xml:space="preserve">the </w:t>
      </w:r>
      <w:r w:rsidR="003E0C96">
        <w:rPr>
          <w:rFonts w:ascii="Times New Roman" w:hAnsi="Times New Roman" w:cs="Times New Roman"/>
        </w:rPr>
        <w:t>101(1)</w:t>
      </w:r>
      <w:r w:rsidRPr="0012395A">
        <w:rPr>
          <w:rFonts w:ascii="Times New Roman" w:hAnsi="Times New Roman" w:cs="Times New Roman"/>
        </w:rPr>
        <w:t xml:space="preserve">, </w:t>
      </w:r>
      <w:r w:rsidR="00AE7A97" w:rsidRPr="0012395A">
        <w:rPr>
          <w:rFonts w:ascii="Times New Roman" w:hAnsi="Times New Roman" w:cs="Times New Roman"/>
        </w:rPr>
        <w:t xml:space="preserve">Art. </w:t>
      </w:r>
      <w:r w:rsidRPr="0012395A">
        <w:rPr>
          <w:rFonts w:ascii="Times New Roman" w:hAnsi="Times New Roman" w:cs="Times New Roman"/>
        </w:rPr>
        <w:t xml:space="preserve">101(3) </w:t>
      </w:r>
      <w:r w:rsidR="00CE15BC">
        <w:rPr>
          <w:rFonts w:ascii="Times New Roman" w:hAnsi="Times New Roman" w:cs="Times New Roman"/>
        </w:rPr>
        <w:t xml:space="preserve">exempts </w:t>
      </w:r>
      <w:r w:rsidRPr="0012395A">
        <w:rPr>
          <w:rFonts w:ascii="Times New Roman" w:hAnsi="Times New Roman" w:cs="Times New Roman"/>
        </w:rPr>
        <w:t>agreements, decisions and concerted practices that</w:t>
      </w:r>
      <w:r w:rsidR="002D77BA">
        <w:rPr>
          <w:rFonts w:ascii="Times New Roman" w:hAnsi="Times New Roman" w:cs="Times New Roman"/>
        </w:rPr>
        <w:t>, in brief,</w:t>
      </w:r>
      <w:r w:rsidRPr="0012395A">
        <w:rPr>
          <w:rFonts w:ascii="Times New Roman" w:hAnsi="Times New Roman" w:cs="Times New Roman"/>
        </w:rPr>
        <w:t xml:space="preserve"> </w:t>
      </w:r>
      <w:r w:rsidR="003E0C96">
        <w:rPr>
          <w:rFonts w:ascii="Times New Roman" w:hAnsi="Times New Roman" w:cs="Times New Roman"/>
        </w:rPr>
        <w:t>prevent, restrict or distort competition</w:t>
      </w:r>
      <w:r w:rsidR="003E0C96" w:rsidRPr="0012395A">
        <w:rPr>
          <w:rFonts w:ascii="Times New Roman" w:hAnsi="Times New Roman" w:cs="Times New Roman"/>
        </w:rPr>
        <w:t xml:space="preserve"> </w:t>
      </w:r>
      <w:r w:rsidR="003E0C96">
        <w:rPr>
          <w:rFonts w:ascii="Times New Roman" w:hAnsi="Times New Roman" w:cs="Times New Roman"/>
        </w:rPr>
        <w:t xml:space="preserve">but also </w:t>
      </w:r>
      <w:r w:rsidRPr="0012395A">
        <w:rPr>
          <w:rFonts w:ascii="Times New Roman" w:hAnsi="Times New Roman" w:cs="Times New Roman"/>
        </w:rPr>
        <w:t xml:space="preserve">contribute to production or distribution while </w:t>
      </w:r>
      <w:r w:rsidR="008C0185" w:rsidRPr="0012395A">
        <w:rPr>
          <w:rFonts w:ascii="Times New Roman" w:hAnsi="Times New Roman" w:cs="Times New Roman"/>
        </w:rPr>
        <w:t>benefitting consumers so long</w:t>
      </w:r>
      <w:r w:rsidRPr="0012395A">
        <w:rPr>
          <w:rFonts w:ascii="Times New Roman" w:hAnsi="Times New Roman" w:cs="Times New Roman"/>
        </w:rPr>
        <w:t xml:space="preserve"> as they do not impose </w:t>
      </w:r>
      <w:proofErr w:type="spellStart"/>
      <w:r w:rsidRPr="0012395A">
        <w:rPr>
          <w:rFonts w:ascii="Times New Roman" w:hAnsi="Times New Roman" w:cs="Times New Roman"/>
        </w:rPr>
        <w:t>indispensible</w:t>
      </w:r>
      <w:proofErr w:type="spellEnd"/>
      <w:r w:rsidRPr="0012395A">
        <w:rPr>
          <w:rFonts w:ascii="Times New Roman" w:hAnsi="Times New Roman" w:cs="Times New Roman"/>
        </w:rPr>
        <w:t xml:space="preserve"> restrictions </w:t>
      </w:r>
      <w:r w:rsidR="008C0185" w:rsidRPr="0012395A">
        <w:rPr>
          <w:rFonts w:ascii="Times New Roman" w:hAnsi="Times New Roman" w:cs="Times New Roman"/>
        </w:rPr>
        <w:t xml:space="preserve">on competition </w:t>
      </w:r>
      <w:r w:rsidRPr="0012395A">
        <w:rPr>
          <w:rFonts w:ascii="Times New Roman" w:hAnsi="Times New Roman" w:cs="Times New Roman"/>
        </w:rPr>
        <w:t xml:space="preserve">or allow the involved undertakings to </w:t>
      </w:r>
      <w:r w:rsidR="008A1BEC" w:rsidRPr="0012395A">
        <w:rPr>
          <w:rFonts w:ascii="Times New Roman" w:hAnsi="Times New Roman" w:cs="Times New Roman"/>
        </w:rPr>
        <w:t>later eliminate competition.</w:t>
      </w:r>
      <w:r w:rsidR="008A1BEC" w:rsidRPr="0012395A">
        <w:rPr>
          <w:rStyle w:val="EndnoteReference"/>
          <w:rFonts w:ascii="Times New Roman" w:hAnsi="Times New Roman" w:cs="Times New Roman"/>
        </w:rPr>
        <w:endnoteReference w:id="9"/>
      </w:r>
      <w:r w:rsidRPr="0012395A">
        <w:rPr>
          <w:rFonts w:ascii="Times New Roman" w:hAnsi="Times New Roman" w:cs="Times New Roman"/>
        </w:rPr>
        <w:t xml:space="preserve"> </w:t>
      </w:r>
      <w:r w:rsidR="008C0185" w:rsidRPr="0012395A">
        <w:rPr>
          <w:rFonts w:ascii="Times New Roman" w:hAnsi="Times New Roman" w:cs="Times New Roman"/>
        </w:rPr>
        <w:t xml:space="preserve"> Th</w:t>
      </w:r>
      <w:r w:rsidR="003D3F7E" w:rsidRPr="0012395A">
        <w:rPr>
          <w:rFonts w:ascii="Times New Roman" w:hAnsi="Times New Roman" w:cs="Times New Roman"/>
        </w:rPr>
        <w:t>erefore</w:t>
      </w:r>
      <w:r w:rsidR="008C0185" w:rsidRPr="0012395A">
        <w:rPr>
          <w:rFonts w:ascii="Times New Roman" w:hAnsi="Times New Roman" w:cs="Times New Roman"/>
        </w:rPr>
        <w:t xml:space="preserve">, taking subsections (1) and (3) together, there is no room for the </w:t>
      </w:r>
      <w:r w:rsidR="00213A06">
        <w:rPr>
          <w:rFonts w:ascii="Times New Roman" w:hAnsi="Times New Roman" w:cs="Times New Roman"/>
        </w:rPr>
        <w:t>CJEU</w:t>
      </w:r>
      <w:r w:rsidR="008C0185" w:rsidRPr="0012395A">
        <w:rPr>
          <w:rFonts w:ascii="Times New Roman" w:hAnsi="Times New Roman" w:cs="Times New Roman"/>
        </w:rPr>
        <w:t xml:space="preserve"> to read </w:t>
      </w:r>
      <w:r w:rsidR="008C0185" w:rsidRPr="0012395A">
        <w:rPr>
          <w:rFonts w:ascii="Times New Roman" w:hAnsi="Times New Roman" w:cs="Times New Roman"/>
          <w:i/>
        </w:rPr>
        <w:t xml:space="preserve">per se </w:t>
      </w:r>
      <w:r w:rsidR="008E1430">
        <w:rPr>
          <w:rFonts w:ascii="Times New Roman" w:hAnsi="Times New Roman" w:cs="Times New Roman"/>
        </w:rPr>
        <w:t xml:space="preserve">rules </w:t>
      </w:r>
      <w:r w:rsidR="00E41EE6" w:rsidRPr="0012395A">
        <w:rPr>
          <w:rFonts w:ascii="Times New Roman" w:hAnsi="Times New Roman" w:cs="Times New Roman"/>
        </w:rPr>
        <w:t>into Art.</w:t>
      </w:r>
      <w:r w:rsidR="008C0185" w:rsidRPr="0012395A">
        <w:rPr>
          <w:rFonts w:ascii="Times New Roman" w:hAnsi="Times New Roman" w:cs="Times New Roman"/>
        </w:rPr>
        <w:t xml:space="preserve"> </w:t>
      </w:r>
      <w:proofErr w:type="gramStart"/>
      <w:r w:rsidR="008C0185" w:rsidRPr="0012395A">
        <w:rPr>
          <w:rFonts w:ascii="Times New Roman" w:hAnsi="Times New Roman" w:cs="Times New Roman"/>
        </w:rPr>
        <w:t xml:space="preserve">101 </w:t>
      </w:r>
      <w:r w:rsidR="00C41C74" w:rsidRPr="0012395A">
        <w:rPr>
          <w:rFonts w:ascii="Times New Roman" w:hAnsi="Times New Roman" w:cs="Times New Roman"/>
        </w:rPr>
        <w:t xml:space="preserve">because </w:t>
      </w:r>
      <w:r w:rsidR="008C0185" w:rsidRPr="0012395A">
        <w:rPr>
          <w:rFonts w:ascii="Times New Roman" w:hAnsi="Times New Roman" w:cs="Times New Roman"/>
        </w:rPr>
        <w:t xml:space="preserve">it contains </w:t>
      </w:r>
      <w:r w:rsidR="00C41C74" w:rsidRPr="0012395A">
        <w:rPr>
          <w:rFonts w:ascii="Times New Roman" w:hAnsi="Times New Roman" w:cs="Times New Roman"/>
        </w:rPr>
        <w:t xml:space="preserve">both </w:t>
      </w:r>
      <w:r w:rsidR="008C0185" w:rsidRPr="0012395A">
        <w:rPr>
          <w:rFonts w:ascii="Times New Roman" w:hAnsi="Times New Roman" w:cs="Times New Roman"/>
        </w:rPr>
        <w:t xml:space="preserve">a prohibition and an explicit </w:t>
      </w:r>
      <w:r w:rsidR="00AE7A97" w:rsidRPr="0012395A">
        <w:rPr>
          <w:rFonts w:ascii="Times New Roman" w:hAnsi="Times New Roman" w:cs="Times New Roman"/>
        </w:rPr>
        <w:t xml:space="preserve">basis for </w:t>
      </w:r>
      <w:r w:rsidR="001F359D">
        <w:rPr>
          <w:rFonts w:ascii="Times New Roman" w:hAnsi="Times New Roman" w:cs="Times New Roman"/>
        </w:rPr>
        <w:t>exemption</w:t>
      </w:r>
      <w:r w:rsidR="008C0185" w:rsidRPr="0012395A">
        <w:rPr>
          <w:rFonts w:ascii="Times New Roman" w:hAnsi="Times New Roman" w:cs="Times New Roman"/>
        </w:rPr>
        <w:t>.</w:t>
      </w:r>
      <w:proofErr w:type="gramEnd"/>
      <w:r w:rsidR="008C0185" w:rsidRPr="0012395A">
        <w:rPr>
          <w:rFonts w:ascii="Times New Roman" w:hAnsi="Times New Roman" w:cs="Times New Roman"/>
        </w:rPr>
        <w:t xml:space="preserve"> </w:t>
      </w:r>
    </w:p>
    <w:p w14:paraId="0D3D43C7" w14:textId="06576773" w:rsidR="00562185" w:rsidRPr="0012395A" w:rsidRDefault="00562185" w:rsidP="00864B96">
      <w:pPr>
        <w:spacing w:line="480" w:lineRule="auto"/>
        <w:rPr>
          <w:rFonts w:ascii="Times New Roman" w:hAnsi="Times New Roman" w:cs="Times New Roman"/>
        </w:rPr>
      </w:pPr>
      <w:r w:rsidRPr="0012395A">
        <w:rPr>
          <w:rFonts w:ascii="Times New Roman" w:hAnsi="Times New Roman" w:cs="Times New Roman"/>
        </w:rPr>
        <w:tab/>
      </w:r>
      <w:proofErr w:type="gramStart"/>
      <w:r w:rsidR="008E1430">
        <w:rPr>
          <w:rFonts w:ascii="Times New Roman" w:hAnsi="Times New Roman" w:cs="Times New Roman"/>
        </w:rPr>
        <w:t>In</w:t>
      </w:r>
      <w:r w:rsidR="00C93E75">
        <w:rPr>
          <w:rFonts w:ascii="Times New Roman" w:hAnsi="Times New Roman" w:cs="Times New Roman"/>
        </w:rPr>
        <w:t xml:space="preserve"> discussing</w:t>
      </w:r>
      <w:r w:rsidR="008E1430">
        <w:rPr>
          <w:rFonts w:ascii="Times New Roman" w:hAnsi="Times New Roman" w:cs="Times New Roman"/>
        </w:rPr>
        <w:t xml:space="preserve"> the CJEU’s application of Art.</w:t>
      </w:r>
      <w:proofErr w:type="gramEnd"/>
      <w:r w:rsidR="008E1430">
        <w:rPr>
          <w:rFonts w:ascii="Times New Roman" w:hAnsi="Times New Roman" w:cs="Times New Roman"/>
        </w:rPr>
        <w:t xml:space="preserve"> 101,</w:t>
      </w:r>
      <w:r w:rsidR="00C93E75">
        <w:rPr>
          <w:rFonts w:ascii="Times New Roman" w:hAnsi="Times New Roman" w:cs="Times New Roman"/>
        </w:rPr>
        <w:t xml:space="preserve"> it is worth noting that </w:t>
      </w:r>
      <w:r w:rsidR="008E1430">
        <w:rPr>
          <w:rFonts w:ascii="Times New Roman" w:hAnsi="Times New Roman" w:cs="Times New Roman"/>
        </w:rPr>
        <w:t>t</w:t>
      </w:r>
      <w:r w:rsidR="00E41EE6" w:rsidRPr="0012395A">
        <w:rPr>
          <w:rFonts w:ascii="Times New Roman" w:hAnsi="Times New Roman" w:cs="Times New Roman"/>
        </w:rPr>
        <w:t xml:space="preserve">he </w:t>
      </w:r>
      <w:r w:rsidR="008E1430">
        <w:rPr>
          <w:rFonts w:ascii="Times New Roman" w:hAnsi="Times New Roman" w:cs="Times New Roman"/>
        </w:rPr>
        <w:t xml:space="preserve">Court </w:t>
      </w:r>
      <w:r w:rsidR="00717001">
        <w:rPr>
          <w:rFonts w:ascii="Times New Roman" w:hAnsi="Times New Roman" w:cs="Times New Roman"/>
        </w:rPr>
        <w:t>functions</w:t>
      </w:r>
      <w:r w:rsidR="000D5CF2">
        <w:rPr>
          <w:rFonts w:ascii="Times New Roman" w:hAnsi="Times New Roman" w:cs="Times New Roman"/>
        </w:rPr>
        <w:t xml:space="preserve"> within a different </w:t>
      </w:r>
      <w:r w:rsidR="00C93E75">
        <w:rPr>
          <w:rFonts w:ascii="Times New Roman" w:hAnsi="Times New Roman" w:cs="Times New Roman"/>
        </w:rPr>
        <w:t>inst</w:t>
      </w:r>
      <w:r w:rsidR="008E1430">
        <w:rPr>
          <w:rFonts w:ascii="Times New Roman" w:hAnsi="Times New Roman" w:cs="Times New Roman"/>
        </w:rPr>
        <w:t>it</w:t>
      </w:r>
      <w:r w:rsidR="00C93E75">
        <w:rPr>
          <w:rFonts w:ascii="Times New Roman" w:hAnsi="Times New Roman" w:cs="Times New Roman"/>
        </w:rPr>
        <w:t>utional</w:t>
      </w:r>
      <w:r w:rsidR="000D5CF2">
        <w:rPr>
          <w:rFonts w:ascii="Times New Roman" w:hAnsi="Times New Roman" w:cs="Times New Roman"/>
        </w:rPr>
        <w:t xml:space="preserve"> framework </w:t>
      </w:r>
      <w:r w:rsidR="008E1430">
        <w:rPr>
          <w:rFonts w:ascii="Times New Roman" w:hAnsi="Times New Roman" w:cs="Times New Roman"/>
        </w:rPr>
        <w:t xml:space="preserve">in </w:t>
      </w:r>
      <w:r w:rsidR="000D5CF2">
        <w:rPr>
          <w:rFonts w:ascii="Times New Roman" w:hAnsi="Times New Roman" w:cs="Times New Roman"/>
        </w:rPr>
        <w:t xml:space="preserve">the EU </w:t>
      </w:r>
      <w:r w:rsidR="000723C1" w:rsidRPr="0012395A">
        <w:rPr>
          <w:rFonts w:ascii="Times New Roman" w:hAnsi="Times New Roman" w:cs="Times New Roman"/>
        </w:rPr>
        <w:t xml:space="preserve">than </w:t>
      </w:r>
      <w:r w:rsidR="000D5CF2">
        <w:rPr>
          <w:rFonts w:ascii="Times New Roman" w:hAnsi="Times New Roman" w:cs="Times New Roman"/>
        </w:rPr>
        <w:t>the</w:t>
      </w:r>
      <w:r w:rsidR="00E41EE6" w:rsidRPr="0012395A">
        <w:rPr>
          <w:rFonts w:ascii="Times New Roman" w:hAnsi="Times New Roman" w:cs="Times New Roman"/>
        </w:rPr>
        <w:t xml:space="preserve"> Supreme Court</w:t>
      </w:r>
      <w:r w:rsidR="000D5CF2">
        <w:rPr>
          <w:rFonts w:ascii="Times New Roman" w:hAnsi="Times New Roman" w:cs="Times New Roman"/>
        </w:rPr>
        <w:t xml:space="preserve"> does within the U.S</w:t>
      </w:r>
      <w:r w:rsidR="00E41EE6" w:rsidRPr="0012395A">
        <w:rPr>
          <w:rFonts w:ascii="Times New Roman" w:hAnsi="Times New Roman" w:cs="Times New Roman"/>
        </w:rPr>
        <w:t xml:space="preserve">. </w:t>
      </w:r>
      <w:r w:rsidR="00C01308">
        <w:rPr>
          <w:rFonts w:ascii="Times New Roman" w:hAnsi="Times New Roman" w:cs="Times New Roman"/>
        </w:rPr>
        <w:t xml:space="preserve"> </w:t>
      </w:r>
      <w:r w:rsidR="00F81181">
        <w:rPr>
          <w:rFonts w:ascii="Times New Roman" w:hAnsi="Times New Roman" w:cs="Times New Roman"/>
        </w:rPr>
        <w:t>I</w:t>
      </w:r>
      <w:r w:rsidR="008E1430">
        <w:rPr>
          <w:rFonts w:ascii="Times New Roman" w:hAnsi="Times New Roman" w:cs="Times New Roman"/>
        </w:rPr>
        <w:t xml:space="preserve">ndeed, as </w:t>
      </w:r>
      <w:r w:rsidR="008E1430" w:rsidRPr="0012395A">
        <w:rPr>
          <w:rFonts w:ascii="Times New Roman" w:hAnsi="Times New Roman" w:cs="Times New Roman"/>
        </w:rPr>
        <w:t>identified in the “</w:t>
      </w:r>
      <w:hyperlink r:id="rId9" w:history="1">
        <w:r w:rsidR="008E1430" w:rsidRPr="0012395A">
          <w:rPr>
            <w:rStyle w:val="Hyperlink"/>
            <w:rFonts w:ascii="Times New Roman" w:hAnsi="Times New Roman" w:cs="Times New Roman"/>
          </w:rPr>
          <w:t>Origins and Interpretation of ‘Concerted Practice’</w:t>
        </w:r>
      </w:hyperlink>
      <w:r w:rsidR="008E1430" w:rsidRPr="0012395A">
        <w:rPr>
          <w:rFonts w:ascii="Times New Roman" w:hAnsi="Times New Roman" w:cs="Times New Roman"/>
        </w:rPr>
        <w:t xml:space="preserve">” section of this site, the three countries contributing prominently to the drafting </w:t>
      </w:r>
      <w:r w:rsidR="00F81181">
        <w:rPr>
          <w:rFonts w:ascii="Times New Roman" w:hAnsi="Times New Roman" w:cs="Times New Roman"/>
        </w:rPr>
        <w:t xml:space="preserve">of the Treaty </w:t>
      </w:r>
      <w:r w:rsidR="00CD7C7D">
        <w:rPr>
          <w:rFonts w:ascii="Times New Roman" w:hAnsi="Times New Roman" w:cs="Times New Roman"/>
        </w:rPr>
        <w:t xml:space="preserve">of Rome </w:t>
      </w:r>
      <w:r w:rsidR="00C634ED">
        <w:rPr>
          <w:rFonts w:ascii="Times New Roman" w:hAnsi="Times New Roman" w:cs="Times New Roman"/>
        </w:rPr>
        <w:t>(the first version of what is now the TFEU</w:t>
      </w:r>
      <w:r w:rsidR="00384204">
        <w:rPr>
          <w:rFonts w:ascii="Times New Roman" w:hAnsi="Times New Roman" w:cs="Times New Roman"/>
        </w:rPr>
        <w:t xml:space="preserve">) </w:t>
      </w:r>
      <w:r w:rsidR="008E1430" w:rsidRPr="0012395A">
        <w:rPr>
          <w:rFonts w:ascii="Times New Roman" w:hAnsi="Times New Roman" w:cs="Times New Roman"/>
        </w:rPr>
        <w:t>were Franc</w:t>
      </w:r>
      <w:r w:rsidR="00F81181">
        <w:rPr>
          <w:rFonts w:ascii="Times New Roman" w:hAnsi="Times New Roman" w:cs="Times New Roman"/>
        </w:rPr>
        <w:t>e, Germany, and the Netherlands—</w:t>
      </w:r>
      <w:r w:rsidR="00C01308">
        <w:rPr>
          <w:rFonts w:ascii="Times New Roman" w:hAnsi="Times New Roman" w:cs="Times New Roman"/>
        </w:rPr>
        <w:t xml:space="preserve">all civil law countries. This civil law </w:t>
      </w:r>
      <w:r w:rsidR="00E94E3A">
        <w:rPr>
          <w:rFonts w:ascii="Times New Roman" w:hAnsi="Times New Roman" w:cs="Times New Roman"/>
        </w:rPr>
        <w:t>heritage</w:t>
      </w:r>
      <w:r w:rsidR="00C01308">
        <w:rPr>
          <w:rFonts w:ascii="Times New Roman" w:hAnsi="Times New Roman" w:cs="Times New Roman"/>
        </w:rPr>
        <w:t xml:space="preserve"> may </w:t>
      </w:r>
      <w:r w:rsidR="008E1430">
        <w:rPr>
          <w:rFonts w:ascii="Times New Roman" w:hAnsi="Times New Roman" w:cs="Times New Roman"/>
        </w:rPr>
        <w:t xml:space="preserve">suggest </w:t>
      </w:r>
      <w:r w:rsidR="008E1430" w:rsidRPr="0012395A">
        <w:rPr>
          <w:rFonts w:ascii="Times New Roman" w:hAnsi="Times New Roman" w:cs="Times New Roman"/>
        </w:rPr>
        <w:t xml:space="preserve">that there is </w:t>
      </w:r>
      <w:r w:rsidR="001F5DC9">
        <w:rPr>
          <w:rFonts w:ascii="Times New Roman" w:hAnsi="Times New Roman" w:cs="Times New Roman"/>
        </w:rPr>
        <w:t>little</w:t>
      </w:r>
      <w:r w:rsidR="008E1430" w:rsidRPr="0012395A">
        <w:rPr>
          <w:rFonts w:ascii="Times New Roman" w:hAnsi="Times New Roman" w:cs="Times New Roman"/>
        </w:rPr>
        <w:t xml:space="preserve"> room for</w:t>
      </w:r>
      <w:r w:rsidR="008E1430">
        <w:rPr>
          <w:rFonts w:ascii="Times New Roman" w:hAnsi="Times New Roman" w:cs="Times New Roman"/>
        </w:rPr>
        <w:t xml:space="preserve"> judicial development of</w:t>
      </w:r>
      <w:r w:rsidR="008E1430" w:rsidRPr="0012395A">
        <w:rPr>
          <w:rFonts w:ascii="Times New Roman" w:hAnsi="Times New Roman" w:cs="Times New Roman"/>
        </w:rPr>
        <w:t xml:space="preserve"> </w:t>
      </w:r>
      <w:r w:rsidR="008E1430" w:rsidRPr="0012395A">
        <w:rPr>
          <w:rFonts w:ascii="Times New Roman" w:hAnsi="Times New Roman" w:cs="Times New Roman"/>
          <w:i/>
        </w:rPr>
        <w:t>per se</w:t>
      </w:r>
      <w:r w:rsidR="008E1430" w:rsidRPr="0012395A">
        <w:rPr>
          <w:rFonts w:ascii="Times New Roman" w:hAnsi="Times New Roman" w:cs="Times New Roman"/>
        </w:rPr>
        <w:t xml:space="preserve"> rules </w:t>
      </w:r>
      <w:r w:rsidR="00C01308">
        <w:rPr>
          <w:rFonts w:ascii="Times New Roman" w:hAnsi="Times New Roman" w:cs="Times New Roman"/>
        </w:rPr>
        <w:t xml:space="preserve">that </w:t>
      </w:r>
      <w:r w:rsidR="00F81181">
        <w:rPr>
          <w:rFonts w:ascii="Times New Roman" w:hAnsi="Times New Roman" w:cs="Times New Roman"/>
        </w:rPr>
        <w:t xml:space="preserve">fall outside the text of the </w:t>
      </w:r>
      <w:r w:rsidR="00C01308">
        <w:rPr>
          <w:rFonts w:ascii="Times New Roman" w:hAnsi="Times New Roman" w:cs="Times New Roman"/>
        </w:rPr>
        <w:t xml:space="preserve">Treaty </w:t>
      </w:r>
      <w:r w:rsidR="008E1430" w:rsidRPr="0012395A">
        <w:rPr>
          <w:rFonts w:ascii="Times New Roman" w:hAnsi="Times New Roman" w:cs="Times New Roman"/>
        </w:rPr>
        <w:t xml:space="preserve">in </w:t>
      </w:r>
      <w:r w:rsidR="00C01308">
        <w:rPr>
          <w:rFonts w:ascii="Times New Roman" w:hAnsi="Times New Roman" w:cs="Times New Roman"/>
        </w:rPr>
        <w:t xml:space="preserve">CJEU </w:t>
      </w:r>
      <w:r w:rsidR="008E1430" w:rsidRPr="0012395A">
        <w:rPr>
          <w:rFonts w:ascii="Times New Roman" w:hAnsi="Times New Roman" w:cs="Times New Roman"/>
        </w:rPr>
        <w:t xml:space="preserve">competition jurisprudence. </w:t>
      </w:r>
      <w:r w:rsidR="008E1430">
        <w:rPr>
          <w:rFonts w:ascii="Times New Roman" w:hAnsi="Times New Roman" w:cs="Times New Roman"/>
        </w:rPr>
        <w:t xml:space="preserve"> </w:t>
      </w:r>
      <w:proofErr w:type="gramStart"/>
      <w:r w:rsidR="008E1430" w:rsidRPr="0012395A">
        <w:rPr>
          <w:rFonts w:ascii="Times New Roman" w:hAnsi="Times New Roman" w:cs="Times New Roman"/>
        </w:rPr>
        <w:t xml:space="preserve">As </w:t>
      </w:r>
      <w:r w:rsidR="005D0E4E" w:rsidRPr="0012395A">
        <w:rPr>
          <w:rFonts w:ascii="Times New Roman" w:hAnsi="Times New Roman" w:cs="Times New Roman"/>
        </w:rPr>
        <w:t>a natural consequence</w:t>
      </w:r>
      <w:r w:rsidR="004B4DDC" w:rsidRPr="0012395A">
        <w:rPr>
          <w:rFonts w:ascii="Times New Roman" w:hAnsi="Times New Roman" w:cs="Times New Roman"/>
        </w:rPr>
        <w:t>,</w:t>
      </w:r>
      <w:r w:rsidR="005D0E4E" w:rsidRPr="0012395A">
        <w:rPr>
          <w:rFonts w:ascii="Times New Roman" w:hAnsi="Times New Roman" w:cs="Times New Roman"/>
        </w:rPr>
        <w:t xml:space="preserve"> </w:t>
      </w:r>
      <w:r w:rsidR="00F81181">
        <w:rPr>
          <w:rFonts w:ascii="Times New Roman" w:hAnsi="Times New Roman" w:cs="Times New Roman"/>
        </w:rPr>
        <w:t>the CJEU</w:t>
      </w:r>
      <w:r w:rsidR="005D0E4E" w:rsidRPr="0012395A">
        <w:rPr>
          <w:rFonts w:ascii="Times New Roman" w:hAnsi="Times New Roman" w:cs="Times New Roman"/>
        </w:rPr>
        <w:t>’s</w:t>
      </w:r>
      <w:r w:rsidRPr="0012395A">
        <w:rPr>
          <w:rFonts w:ascii="Times New Roman" w:hAnsi="Times New Roman" w:cs="Times New Roman"/>
        </w:rPr>
        <w:t xml:space="preserve"> </w:t>
      </w:r>
      <w:r w:rsidR="005D0E4E" w:rsidRPr="0012395A">
        <w:rPr>
          <w:rFonts w:ascii="Times New Roman" w:hAnsi="Times New Roman" w:cs="Times New Roman"/>
        </w:rPr>
        <w:t xml:space="preserve">interpretation </w:t>
      </w:r>
      <w:r w:rsidR="00E41EE6" w:rsidRPr="0012395A">
        <w:rPr>
          <w:rFonts w:ascii="Times New Roman" w:hAnsi="Times New Roman" w:cs="Times New Roman"/>
        </w:rPr>
        <w:t>of Art.</w:t>
      </w:r>
      <w:proofErr w:type="gramEnd"/>
      <w:r w:rsidRPr="0012395A">
        <w:rPr>
          <w:rFonts w:ascii="Times New Roman" w:hAnsi="Times New Roman" w:cs="Times New Roman"/>
        </w:rPr>
        <w:t xml:space="preserve"> 101</w:t>
      </w:r>
      <w:r w:rsidR="005D0E4E" w:rsidRPr="0012395A">
        <w:rPr>
          <w:rFonts w:ascii="Times New Roman" w:hAnsi="Times New Roman" w:cs="Times New Roman"/>
        </w:rPr>
        <w:t xml:space="preserve"> </w:t>
      </w:r>
      <w:proofErr w:type="gramStart"/>
      <w:r w:rsidR="00D7370F">
        <w:rPr>
          <w:rFonts w:ascii="Times New Roman" w:hAnsi="Times New Roman" w:cs="Times New Roman"/>
        </w:rPr>
        <w:t>tends</w:t>
      </w:r>
      <w:proofErr w:type="gramEnd"/>
      <w:r w:rsidR="00D7370F">
        <w:rPr>
          <w:rFonts w:ascii="Times New Roman" w:hAnsi="Times New Roman" w:cs="Times New Roman"/>
        </w:rPr>
        <w:t xml:space="preserve"> to be</w:t>
      </w:r>
      <w:r w:rsidR="005D0E4E" w:rsidRPr="0012395A">
        <w:rPr>
          <w:rFonts w:ascii="Times New Roman" w:hAnsi="Times New Roman" w:cs="Times New Roman"/>
        </w:rPr>
        <w:t xml:space="preserve"> static</w:t>
      </w:r>
      <w:r w:rsidR="001F5DC9">
        <w:rPr>
          <w:rFonts w:ascii="Times New Roman" w:hAnsi="Times New Roman" w:cs="Times New Roman"/>
        </w:rPr>
        <w:t>,</w:t>
      </w:r>
      <w:r w:rsidR="0062646D">
        <w:rPr>
          <w:rFonts w:ascii="Times New Roman" w:hAnsi="Times New Roman" w:cs="Times New Roman"/>
        </w:rPr>
        <w:t xml:space="preserve"> </w:t>
      </w:r>
      <w:r w:rsidR="0062646D">
        <w:rPr>
          <w:rFonts w:ascii="Times New Roman" w:hAnsi="Times New Roman" w:cs="Times New Roman"/>
        </w:rPr>
        <w:lastRenderedPageBreak/>
        <w:t>as the court operates under</w:t>
      </w:r>
      <w:r w:rsidR="00C01308">
        <w:rPr>
          <w:rFonts w:ascii="Times New Roman" w:hAnsi="Times New Roman" w:cs="Times New Roman"/>
        </w:rPr>
        <w:t xml:space="preserve"> the</w:t>
      </w:r>
      <w:r w:rsidR="0062646D">
        <w:rPr>
          <w:rFonts w:ascii="Times New Roman" w:hAnsi="Times New Roman" w:cs="Times New Roman"/>
        </w:rPr>
        <w:t xml:space="preserve"> fixed objective</w:t>
      </w:r>
      <w:r w:rsidR="00C01308">
        <w:rPr>
          <w:rFonts w:ascii="Times New Roman" w:hAnsi="Times New Roman" w:cs="Times New Roman"/>
        </w:rPr>
        <w:t>s embodied by the TFEU’s provisions</w:t>
      </w:r>
      <w:r w:rsidR="0062646D">
        <w:rPr>
          <w:rFonts w:ascii="Times New Roman" w:hAnsi="Times New Roman" w:cs="Times New Roman"/>
        </w:rPr>
        <w:t xml:space="preserve">.  Although </w:t>
      </w:r>
      <w:r w:rsidR="001F5DC9">
        <w:rPr>
          <w:rFonts w:ascii="Times New Roman" w:hAnsi="Times New Roman" w:cs="Times New Roman"/>
        </w:rPr>
        <w:t xml:space="preserve">CJEU opinions do </w:t>
      </w:r>
      <w:r w:rsidR="0062646D">
        <w:rPr>
          <w:rFonts w:ascii="Times New Roman" w:hAnsi="Times New Roman" w:cs="Times New Roman"/>
        </w:rPr>
        <w:t xml:space="preserve">cite </w:t>
      </w:r>
      <w:r w:rsidR="001F5DC9">
        <w:rPr>
          <w:rFonts w:ascii="Times New Roman" w:hAnsi="Times New Roman" w:cs="Times New Roman"/>
        </w:rPr>
        <w:t xml:space="preserve">to </w:t>
      </w:r>
      <w:r w:rsidR="0062646D">
        <w:rPr>
          <w:rFonts w:ascii="Times New Roman" w:hAnsi="Times New Roman" w:cs="Times New Roman"/>
        </w:rPr>
        <w:t xml:space="preserve">earlier </w:t>
      </w:r>
      <w:r w:rsidR="001F5DC9">
        <w:rPr>
          <w:rFonts w:ascii="Times New Roman" w:hAnsi="Times New Roman" w:cs="Times New Roman"/>
        </w:rPr>
        <w:t>cases as rule</w:t>
      </w:r>
      <w:r w:rsidR="0062646D">
        <w:rPr>
          <w:rFonts w:ascii="Times New Roman" w:hAnsi="Times New Roman" w:cs="Times New Roman"/>
        </w:rPr>
        <w:t xml:space="preserve"> of law, </w:t>
      </w:r>
      <w:r w:rsidR="001F5DC9">
        <w:rPr>
          <w:rFonts w:ascii="Times New Roman" w:hAnsi="Times New Roman" w:cs="Times New Roman"/>
        </w:rPr>
        <w:t xml:space="preserve">the Court </w:t>
      </w:r>
      <w:r w:rsidR="0062646D">
        <w:rPr>
          <w:rFonts w:ascii="Times New Roman" w:hAnsi="Times New Roman" w:cs="Times New Roman"/>
        </w:rPr>
        <w:t xml:space="preserve">typically relies on </w:t>
      </w:r>
      <w:r w:rsidR="00E94E3A">
        <w:rPr>
          <w:rFonts w:ascii="Times New Roman" w:hAnsi="Times New Roman" w:cs="Times New Roman"/>
        </w:rPr>
        <w:t xml:space="preserve">long-standing </w:t>
      </w:r>
      <w:r w:rsidR="0062646D">
        <w:rPr>
          <w:rFonts w:ascii="Times New Roman" w:hAnsi="Times New Roman" w:cs="Times New Roman"/>
        </w:rPr>
        <w:t xml:space="preserve">interpretations </w:t>
      </w:r>
      <w:r w:rsidR="00C01308">
        <w:rPr>
          <w:rFonts w:ascii="Times New Roman" w:hAnsi="Times New Roman" w:cs="Times New Roman"/>
        </w:rPr>
        <w:t xml:space="preserve">of the Treaty </w:t>
      </w:r>
      <w:r w:rsidR="0062646D">
        <w:rPr>
          <w:rFonts w:ascii="Times New Roman" w:hAnsi="Times New Roman" w:cs="Times New Roman"/>
        </w:rPr>
        <w:t>evermore</w:t>
      </w:r>
      <w:r w:rsidR="00C01308">
        <w:rPr>
          <w:rFonts w:ascii="Times New Roman" w:hAnsi="Times New Roman" w:cs="Times New Roman"/>
        </w:rPr>
        <w:t xml:space="preserve"> (as exemplified through modern day cases that </w:t>
      </w:r>
      <w:r w:rsidR="00E94E3A">
        <w:rPr>
          <w:rFonts w:ascii="Times New Roman" w:hAnsi="Times New Roman" w:cs="Times New Roman"/>
        </w:rPr>
        <w:t>use, often without citation, the same (or nearly so)</w:t>
      </w:r>
      <w:r w:rsidR="00C01308">
        <w:rPr>
          <w:rFonts w:ascii="Times New Roman" w:hAnsi="Times New Roman" w:cs="Times New Roman"/>
        </w:rPr>
        <w:t xml:space="preserve"> language </w:t>
      </w:r>
      <w:r w:rsidR="00E94E3A">
        <w:rPr>
          <w:rFonts w:ascii="Times New Roman" w:hAnsi="Times New Roman" w:cs="Times New Roman"/>
        </w:rPr>
        <w:t xml:space="preserve">from </w:t>
      </w:r>
      <w:r w:rsidR="00C01308">
        <w:rPr>
          <w:rFonts w:ascii="Times New Roman" w:hAnsi="Times New Roman" w:cs="Times New Roman"/>
        </w:rPr>
        <w:t>case</w:t>
      </w:r>
      <w:r w:rsidR="00E94E3A">
        <w:rPr>
          <w:rFonts w:ascii="Times New Roman" w:hAnsi="Times New Roman" w:cs="Times New Roman"/>
        </w:rPr>
        <w:t>s</w:t>
      </w:r>
      <w:r w:rsidR="00C01308">
        <w:rPr>
          <w:rFonts w:ascii="Times New Roman" w:hAnsi="Times New Roman" w:cs="Times New Roman"/>
        </w:rPr>
        <w:t xml:space="preserve"> </w:t>
      </w:r>
      <w:r w:rsidR="00E94E3A">
        <w:rPr>
          <w:rFonts w:ascii="Times New Roman" w:hAnsi="Times New Roman" w:cs="Times New Roman"/>
        </w:rPr>
        <w:t xml:space="preserve">of </w:t>
      </w:r>
      <w:r w:rsidR="00C01308">
        <w:rPr>
          <w:rFonts w:ascii="Times New Roman" w:hAnsi="Times New Roman" w:cs="Times New Roman"/>
        </w:rPr>
        <w:t>the early 1960s)</w:t>
      </w:r>
      <w:r w:rsidR="0062646D">
        <w:rPr>
          <w:rFonts w:ascii="Times New Roman" w:hAnsi="Times New Roman" w:cs="Times New Roman"/>
        </w:rPr>
        <w:t xml:space="preserve">. </w:t>
      </w:r>
      <w:r w:rsidR="001F5DC9">
        <w:rPr>
          <w:rFonts w:ascii="Times New Roman" w:hAnsi="Times New Roman" w:cs="Times New Roman"/>
        </w:rPr>
        <w:t xml:space="preserve"> T</w:t>
      </w:r>
      <w:r w:rsidR="0062646D">
        <w:rPr>
          <w:rFonts w:ascii="Times New Roman" w:hAnsi="Times New Roman" w:cs="Times New Roman"/>
        </w:rPr>
        <w:t xml:space="preserve">he </w:t>
      </w:r>
      <w:r w:rsidRPr="0012395A">
        <w:rPr>
          <w:rFonts w:ascii="Times New Roman" w:hAnsi="Times New Roman" w:cs="Times New Roman"/>
        </w:rPr>
        <w:t xml:space="preserve">Supreme Court’s </w:t>
      </w:r>
      <w:r w:rsidR="00AE7A97" w:rsidRPr="0012395A">
        <w:rPr>
          <w:rFonts w:ascii="Times New Roman" w:hAnsi="Times New Roman" w:cs="Times New Roman"/>
        </w:rPr>
        <w:t>interpretation</w:t>
      </w:r>
      <w:r w:rsidR="006861B4" w:rsidRPr="0012395A">
        <w:rPr>
          <w:rFonts w:ascii="Times New Roman" w:hAnsi="Times New Roman" w:cs="Times New Roman"/>
        </w:rPr>
        <w:t xml:space="preserve"> </w:t>
      </w:r>
      <w:r w:rsidR="00E41EE6" w:rsidRPr="0012395A">
        <w:rPr>
          <w:rFonts w:ascii="Times New Roman" w:hAnsi="Times New Roman" w:cs="Times New Roman"/>
        </w:rPr>
        <w:t xml:space="preserve">of </w:t>
      </w:r>
      <w:r w:rsidR="00C01308">
        <w:rPr>
          <w:rFonts w:ascii="Times New Roman" w:hAnsi="Times New Roman" w:cs="Times New Roman"/>
        </w:rPr>
        <w:t xml:space="preserve">the </w:t>
      </w:r>
      <w:r w:rsidR="006861B4" w:rsidRPr="0012395A">
        <w:rPr>
          <w:rFonts w:ascii="Times New Roman" w:hAnsi="Times New Roman" w:cs="Times New Roman"/>
        </w:rPr>
        <w:t>Sherman Act</w:t>
      </w:r>
      <w:r w:rsidR="001F5DC9">
        <w:rPr>
          <w:rFonts w:ascii="Times New Roman" w:hAnsi="Times New Roman" w:cs="Times New Roman"/>
        </w:rPr>
        <w:t xml:space="preserve">, on the other hand, </w:t>
      </w:r>
      <w:r w:rsidR="005D0E4E" w:rsidRPr="0012395A">
        <w:rPr>
          <w:rFonts w:ascii="Times New Roman" w:hAnsi="Times New Roman" w:cs="Times New Roman"/>
        </w:rPr>
        <w:t>is more cyclical</w:t>
      </w:r>
      <w:r w:rsidR="0062646D">
        <w:rPr>
          <w:rFonts w:ascii="Times New Roman" w:hAnsi="Times New Roman" w:cs="Times New Roman"/>
        </w:rPr>
        <w:t xml:space="preserve"> as it does not operate under such a </w:t>
      </w:r>
      <w:r w:rsidR="00F81181">
        <w:rPr>
          <w:rFonts w:ascii="Times New Roman" w:hAnsi="Times New Roman" w:cs="Times New Roman"/>
        </w:rPr>
        <w:t xml:space="preserve">fixed </w:t>
      </w:r>
      <w:r w:rsidR="00F6517E">
        <w:rPr>
          <w:rFonts w:ascii="Times New Roman" w:hAnsi="Times New Roman" w:cs="Times New Roman"/>
        </w:rPr>
        <w:t xml:space="preserve">objective. </w:t>
      </w:r>
      <w:r w:rsidR="0062646D">
        <w:rPr>
          <w:rFonts w:ascii="Times New Roman" w:hAnsi="Times New Roman" w:cs="Times New Roman"/>
        </w:rPr>
        <w:t xml:space="preserve"> </w:t>
      </w:r>
      <w:r w:rsidR="00C01308">
        <w:rPr>
          <w:rFonts w:ascii="Times New Roman" w:hAnsi="Times New Roman" w:cs="Times New Roman"/>
        </w:rPr>
        <w:t xml:space="preserve">The Supreme Court’s </w:t>
      </w:r>
      <w:r w:rsidR="00F6517E">
        <w:rPr>
          <w:rFonts w:ascii="Times New Roman" w:hAnsi="Times New Roman" w:cs="Times New Roman"/>
        </w:rPr>
        <w:t xml:space="preserve">broader range of interpretive authority allows it to </w:t>
      </w:r>
      <w:r w:rsidR="00F81181">
        <w:rPr>
          <w:rFonts w:ascii="Times New Roman" w:hAnsi="Times New Roman" w:cs="Times New Roman"/>
        </w:rPr>
        <w:t>respond</w:t>
      </w:r>
      <w:r w:rsidR="005D0E4E" w:rsidRPr="0012395A">
        <w:rPr>
          <w:rFonts w:ascii="Times New Roman" w:hAnsi="Times New Roman" w:cs="Times New Roman"/>
        </w:rPr>
        <w:t xml:space="preserve"> </w:t>
      </w:r>
      <w:r w:rsidR="00E41EE6" w:rsidRPr="0012395A">
        <w:rPr>
          <w:rFonts w:ascii="Times New Roman" w:hAnsi="Times New Roman" w:cs="Times New Roman"/>
        </w:rPr>
        <w:t xml:space="preserve">and adapt to </w:t>
      </w:r>
      <w:r w:rsidR="001F3537" w:rsidRPr="0012395A">
        <w:rPr>
          <w:rFonts w:ascii="Times New Roman" w:hAnsi="Times New Roman" w:cs="Times New Roman"/>
        </w:rPr>
        <w:t xml:space="preserve">market </w:t>
      </w:r>
      <w:r w:rsidR="00F81181">
        <w:rPr>
          <w:rFonts w:ascii="Times New Roman" w:hAnsi="Times New Roman" w:cs="Times New Roman"/>
        </w:rPr>
        <w:t>trends and</w:t>
      </w:r>
      <w:r w:rsidR="005D0E4E" w:rsidRPr="0012395A">
        <w:rPr>
          <w:rFonts w:ascii="Times New Roman" w:hAnsi="Times New Roman" w:cs="Times New Roman"/>
        </w:rPr>
        <w:t xml:space="preserve"> economic theories</w:t>
      </w:r>
      <w:r w:rsidR="00F6517E">
        <w:rPr>
          <w:rFonts w:ascii="Times New Roman" w:hAnsi="Times New Roman" w:cs="Times New Roman"/>
        </w:rPr>
        <w:t xml:space="preserve"> </w:t>
      </w:r>
      <w:r w:rsidR="00C01308">
        <w:rPr>
          <w:rFonts w:ascii="Times New Roman" w:hAnsi="Times New Roman" w:cs="Times New Roman"/>
        </w:rPr>
        <w:t xml:space="preserve">and </w:t>
      </w:r>
      <w:r w:rsidR="00C634ED">
        <w:rPr>
          <w:rFonts w:ascii="Times New Roman" w:hAnsi="Times New Roman" w:cs="Times New Roman"/>
        </w:rPr>
        <w:t>resulting</w:t>
      </w:r>
      <w:r w:rsidR="00C01308">
        <w:rPr>
          <w:rFonts w:ascii="Times New Roman" w:hAnsi="Times New Roman" w:cs="Times New Roman"/>
        </w:rPr>
        <w:t xml:space="preserve"> in rules of law </w:t>
      </w:r>
      <w:r w:rsidR="00C634ED">
        <w:rPr>
          <w:rFonts w:ascii="Times New Roman" w:hAnsi="Times New Roman" w:cs="Times New Roman"/>
        </w:rPr>
        <w:t xml:space="preserve">that change </w:t>
      </w:r>
      <w:r w:rsidR="00C01308">
        <w:rPr>
          <w:rFonts w:ascii="Times New Roman" w:hAnsi="Times New Roman" w:cs="Times New Roman"/>
        </w:rPr>
        <w:t xml:space="preserve">over time </w:t>
      </w:r>
      <w:r w:rsidR="001F5DC9">
        <w:rPr>
          <w:rFonts w:ascii="Times New Roman" w:hAnsi="Times New Roman" w:cs="Times New Roman"/>
        </w:rPr>
        <w:t>(as discussed above)</w:t>
      </w:r>
      <w:r w:rsidR="006861B4" w:rsidRPr="0012395A">
        <w:rPr>
          <w:rFonts w:ascii="Times New Roman" w:hAnsi="Times New Roman" w:cs="Times New Roman"/>
        </w:rPr>
        <w:t>.</w:t>
      </w:r>
      <w:r w:rsidR="00C93E75">
        <w:rPr>
          <w:rFonts w:ascii="Times New Roman" w:hAnsi="Times New Roman" w:cs="Times New Roman"/>
        </w:rPr>
        <w:t xml:space="preserve"> </w:t>
      </w:r>
    </w:p>
    <w:p w14:paraId="075CF913" w14:textId="250D452C" w:rsidR="006861B4" w:rsidRPr="0012395A" w:rsidRDefault="006861B4" w:rsidP="00864B96">
      <w:pPr>
        <w:spacing w:line="480" w:lineRule="auto"/>
        <w:rPr>
          <w:rFonts w:ascii="Times New Roman" w:hAnsi="Times New Roman" w:cs="Times New Roman"/>
        </w:rPr>
      </w:pPr>
      <w:r w:rsidRPr="0012395A">
        <w:rPr>
          <w:rFonts w:ascii="Times New Roman" w:hAnsi="Times New Roman" w:cs="Times New Roman"/>
        </w:rPr>
        <w:tab/>
      </w:r>
      <w:r w:rsidR="006C7663" w:rsidRPr="0012395A">
        <w:rPr>
          <w:rFonts w:ascii="Times New Roman" w:hAnsi="Times New Roman" w:cs="Times New Roman"/>
        </w:rPr>
        <w:t xml:space="preserve">Nonetheless, </w:t>
      </w:r>
      <w:r w:rsidR="00F81181">
        <w:rPr>
          <w:rFonts w:ascii="Times New Roman" w:hAnsi="Times New Roman" w:cs="Times New Roman"/>
        </w:rPr>
        <w:t>necessity</w:t>
      </w:r>
      <w:r w:rsidR="006C7663" w:rsidRPr="0012395A">
        <w:rPr>
          <w:rFonts w:ascii="Times New Roman" w:hAnsi="Times New Roman" w:cs="Times New Roman"/>
        </w:rPr>
        <w:t xml:space="preserve"> remains for </w:t>
      </w:r>
      <w:r w:rsidR="00C41C74" w:rsidRPr="0012395A">
        <w:rPr>
          <w:rFonts w:ascii="Times New Roman" w:hAnsi="Times New Roman" w:cs="Times New Roman"/>
        </w:rPr>
        <w:t xml:space="preserve">the </w:t>
      </w:r>
      <w:r w:rsidR="00213A06">
        <w:rPr>
          <w:rFonts w:ascii="Times New Roman" w:hAnsi="Times New Roman" w:cs="Times New Roman"/>
        </w:rPr>
        <w:t>CJEU</w:t>
      </w:r>
      <w:r w:rsidR="00C41C74" w:rsidRPr="0012395A">
        <w:rPr>
          <w:rFonts w:ascii="Times New Roman" w:hAnsi="Times New Roman" w:cs="Times New Roman"/>
        </w:rPr>
        <w:t xml:space="preserve"> to </w:t>
      </w:r>
      <w:r w:rsidR="00E37690" w:rsidRPr="0012395A">
        <w:rPr>
          <w:rFonts w:ascii="Times New Roman" w:hAnsi="Times New Roman" w:cs="Times New Roman"/>
        </w:rPr>
        <w:t>interpret Art.</w:t>
      </w:r>
      <w:r w:rsidR="006C7663" w:rsidRPr="0012395A">
        <w:rPr>
          <w:rFonts w:ascii="Times New Roman" w:hAnsi="Times New Roman" w:cs="Times New Roman"/>
        </w:rPr>
        <w:t xml:space="preserve"> 101</w:t>
      </w:r>
      <w:r w:rsidR="004B4DDC" w:rsidRPr="0012395A">
        <w:rPr>
          <w:rFonts w:ascii="Times New Roman" w:hAnsi="Times New Roman" w:cs="Times New Roman"/>
        </w:rPr>
        <w:t>’s</w:t>
      </w:r>
      <w:r w:rsidR="006C7663" w:rsidRPr="0012395A">
        <w:rPr>
          <w:rFonts w:ascii="Times New Roman" w:hAnsi="Times New Roman" w:cs="Times New Roman"/>
        </w:rPr>
        <w:t xml:space="preserve"> </w:t>
      </w:r>
      <w:r w:rsidR="004B4DDC" w:rsidRPr="0012395A">
        <w:rPr>
          <w:rFonts w:ascii="Times New Roman" w:hAnsi="Times New Roman" w:cs="Times New Roman"/>
        </w:rPr>
        <w:t xml:space="preserve">prohibition of </w:t>
      </w:r>
      <w:r w:rsidR="006C7663" w:rsidRPr="0012395A">
        <w:rPr>
          <w:rFonts w:ascii="Times New Roman" w:hAnsi="Times New Roman" w:cs="Times New Roman"/>
        </w:rPr>
        <w:t xml:space="preserve">agreements “which have as their </w:t>
      </w:r>
      <w:r w:rsidR="006C7663" w:rsidRPr="0012395A">
        <w:rPr>
          <w:rFonts w:ascii="Times New Roman" w:hAnsi="Times New Roman" w:cs="Times New Roman"/>
          <w:i/>
        </w:rPr>
        <w:t>object</w:t>
      </w:r>
      <w:r w:rsidR="006C7663" w:rsidRPr="0012395A">
        <w:rPr>
          <w:rFonts w:ascii="Times New Roman" w:hAnsi="Times New Roman" w:cs="Times New Roman"/>
        </w:rPr>
        <w:t>… the prevention of competition.</w:t>
      </w:r>
      <w:r w:rsidR="00951880" w:rsidRPr="0012395A">
        <w:rPr>
          <w:rFonts w:ascii="Times New Roman" w:hAnsi="Times New Roman" w:cs="Times New Roman"/>
        </w:rPr>
        <w:t xml:space="preserve">” </w:t>
      </w:r>
      <w:r w:rsidR="006C7663" w:rsidRPr="0012395A">
        <w:rPr>
          <w:rFonts w:ascii="Times New Roman" w:hAnsi="Times New Roman" w:cs="Times New Roman"/>
        </w:rPr>
        <w:t xml:space="preserve"> </w:t>
      </w:r>
      <w:r w:rsidR="004B4DDC" w:rsidRPr="0012395A">
        <w:rPr>
          <w:rFonts w:ascii="Times New Roman" w:hAnsi="Times New Roman" w:cs="Times New Roman"/>
        </w:rPr>
        <w:t>As mentioned above, t</w:t>
      </w:r>
      <w:r w:rsidR="008F3308" w:rsidRPr="0012395A">
        <w:rPr>
          <w:rFonts w:ascii="Times New Roman" w:hAnsi="Times New Roman" w:cs="Times New Roman"/>
        </w:rPr>
        <w:t xml:space="preserve">he </w:t>
      </w:r>
      <w:r w:rsidR="00213A06">
        <w:rPr>
          <w:rFonts w:ascii="Times New Roman" w:hAnsi="Times New Roman" w:cs="Times New Roman"/>
        </w:rPr>
        <w:t>CJEU</w:t>
      </w:r>
      <w:r w:rsidR="008F3308" w:rsidRPr="0012395A">
        <w:rPr>
          <w:rFonts w:ascii="Times New Roman" w:hAnsi="Times New Roman" w:cs="Times New Roman"/>
        </w:rPr>
        <w:t xml:space="preserve"> </w:t>
      </w:r>
      <w:r w:rsidR="004B4DDC" w:rsidRPr="0012395A">
        <w:rPr>
          <w:rFonts w:ascii="Times New Roman" w:hAnsi="Times New Roman" w:cs="Times New Roman"/>
        </w:rPr>
        <w:t xml:space="preserve">holds the authority to lay down general principles of law in response to a referral of a </w:t>
      </w:r>
      <w:r w:rsidR="00607BD7" w:rsidRPr="0012395A">
        <w:rPr>
          <w:rFonts w:ascii="Times New Roman" w:hAnsi="Times New Roman" w:cs="Times New Roman"/>
        </w:rPr>
        <w:t>member state.  The C</w:t>
      </w:r>
      <w:r w:rsidR="004B4DDC" w:rsidRPr="0012395A">
        <w:rPr>
          <w:rFonts w:ascii="Times New Roman" w:hAnsi="Times New Roman" w:cs="Times New Roman"/>
        </w:rPr>
        <w:t xml:space="preserve">ourt </w:t>
      </w:r>
      <w:r w:rsidR="008F3308" w:rsidRPr="0012395A">
        <w:rPr>
          <w:rFonts w:ascii="Times New Roman" w:hAnsi="Times New Roman" w:cs="Times New Roman"/>
        </w:rPr>
        <w:t xml:space="preserve">often relies on its prior experience in infringement by object cases </w:t>
      </w:r>
      <w:r w:rsidR="004B4DDC" w:rsidRPr="0012395A">
        <w:rPr>
          <w:rFonts w:ascii="Times New Roman" w:hAnsi="Times New Roman" w:cs="Times New Roman"/>
        </w:rPr>
        <w:t xml:space="preserve">in order to remain consistent in its interpretation of this vague </w:t>
      </w:r>
      <w:r w:rsidR="00D7370F">
        <w:rPr>
          <w:rFonts w:ascii="Times New Roman" w:hAnsi="Times New Roman" w:cs="Times New Roman"/>
        </w:rPr>
        <w:t>aspect</w:t>
      </w:r>
      <w:r w:rsidR="00607BD7" w:rsidRPr="0012395A">
        <w:rPr>
          <w:rFonts w:ascii="Times New Roman" w:hAnsi="Times New Roman" w:cs="Times New Roman"/>
        </w:rPr>
        <w:t xml:space="preserve"> of Art. 101</w:t>
      </w:r>
      <w:r w:rsidR="00F9147F" w:rsidRPr="0012395A">
        <w:rPr>
          <w:rFonts w:ascii="Times New Roman" w:hAnsi="Times New Roman" w:cs="Times New Roman"/>
        </w:rPr>
        <w:t xml:space="preserve">, including </w:t>
      </w:r>
      <w:r w:rsidR="00C634ED">
        <w:rPr>
          <w:rFonts w:ascii="Times New Roman" w:hAnsi="Times New Roman" w:cs="Times New Roman"/>
        </w:rPr>
        <w:t>a</w:t>
      </w:r>
      <w:r w:rsidR="00F9147F" w:rsidRPr="0012395A">
        <w:rPr>
          <w:rFonts w:ascii="Times New Roman" w:hAnsi="Times New Roman" w:cs="Times New Roman"/>
        </w:rPr>
        <w:t xml:space="preserve"> </w:t>
      </w:r>
      <w:r w:rsidR="00C81764">
        <w:rPr>
          <w:rFonts w:ascii="Times New Roman" w:hAnsi="Times New Roman" w:cs="Times New Roman"/>
        </w:rPr>
        <w:t xml:space="preserve">frequently </w:t>
      </w:r>
      <w:r w:rsidR="007F086B">
        <w:rPr>
          <w:rFonts w:ascii="Times New Roman" w:hAnsi="Times New Roman" w:cs="Times New Roman"/>
        </w:rPr>
        <w:t xml:space="preserve">recurring quote from </w:t>
      </w:r>
      <w:r w:rsidR="003E1CDE" w:rsidRPr="0012395A">
        <w:rPr>
          <w:rFonts w:ascii="Times New Roman" w:hAnsi="Times New Roman" w:cs="Times New Roman"/>
        </w:rPr>
        <w:t xml:space="preserve">the </w:t>
      </w:r>
      <w:r w:rsidR="003E1CDE" w:rsidRPr="0012395A">
        <w:rPr>
          <w:rFonts w:ascii="Times New Roman" w:hAnsi="Times New Roman" w:cs="Times New Roman"/>
          <w:i/>
        </w:rPr>
        <w:t>Beef Industry</w:t>
      </w:r>
      <w:r w:rsidR="003E1CDE" w:rsidRPr="0012395A">
        <w:rPr>
          <w:rFonts w:ascii="Times New Roman" w:hAnsi="Times New Roman" w:cs="Times New Roman"/>
        </w:rPr>
        <w:t xml:space="preserve"> decision</w:t>
      </w:r>
      <w:r w:rsidR="00C81764">
        <w:rPr>
          <w:rFonts w:ascii="Times New Roman" w:hAnsi="Times New Roman" w:cs="Times New Roman"/>
        </w:rPr>
        <w:t xml:space="preserve"> that “</w:t>
      </w:r>
      <w:r w:rsidR="00F9147F" w:rsidRPr="0012395A">
        <w:rPr>
          <w:rFonts w:ascii="Times New Roman" w:hAnsi="Times New Roman" w:cs="Times New Roman"/>
        </w:rPr>
        <w:t>certain forms of collusion between undertakings can be regarded, by their very nature, as being injurious to the proper fu</w:t>
      </w:r>
      <w:r w:rsidR="007F086B">
        <w:rPr>
          <w:rFonts w:ascii="Times New Roman" w:hAnsi="Times New Roman" w:cs="Times New Roman"/>
        </w:rPr>
        <w:t>nctioning of normal competition.</w:t>
      </w:r>
      <w:r w:rsidR="00F9147F" w:rsidRPr="0012395A">
        <w:rPr>
          <w:rFonts w:ascii="Times New Roman" w:hAnsi="Times New Roman" w:cs="Times New Roman"/>
        </w:rPr>
        <w:t>”</w:t>
      </w:r>
      <w:r w:rsidR="00F9147F" w:rsidRPr="0012395A">
        <w:rPr>
          <w:rStyle w:val="EndnoteReference"/>
          <w:rFonts w:ascii="Times New Roman" w:hAnsi="Times New Roman" w:cs="Times New Roman"/>
        </w:rPr>
        <w:endnoteReference w:id="10"/>
      </w:r>
      <w:r w:rsidR="00F9147F" w:rsidRPr="0012395A">
        <w:rPr>
          <w:rFonts w:ascii="Times New Roman" w:hAnsi="Times New Roman" w:cs="Times New Roman"/>
        </w:rPr>
        <w:t xml:space="preserve">  </w:t>
      </w:r>
      <w:r w:rsidR="00607BD7" w:rsidRPr="0012395A">
        <w:rPr>
          <w:rFonts w:ascii="Times New Roman" w:hAnsi="Times New Roman" w:cs="Times New Roman"/>
        </w:rPr>
        <w:t>I</w:t>
      </w:r>
      <w:r w:rsidR="008F3308" w:rsidRPr="0012395A">
        <w:rPr>
          <w:rFonts w:ascii="Times New Roman" w:hAnsi="Times New Roman" w:cs="Times New Roman"/>
        </w:rPr>
        <w:t xml:space="preserve">n </w:t>
      </w:r>
      <w:r w:rsidR="006C7663" w:rsidRPr="0012395A">
        <w:rPr>
          <w:rFonts w:ascii="Times New Roman" w:hAnsi="Times New Roman" w:cs="Times New Roman"/>
          <w:i/>
        </w:rPr>
        <w:t>T-Mobile</w:t>
      </w:r>
      <w:r w:rsidR="00D7370F">
        <w:rPr>
          <w:rFonts w:ascii="Times New Roman" w:hAnsi="Times New Roman" w:cs="Times New Roman"/>
        </w:rPr>
        <w:t>,</w:t>
      </w:r>
      <w:r w:rsidR="00607BD7" w:rsidRPr="0012395A">
        <w:rPr>
          <w:rFonts w:ascii="Times New Roman" w:hAnsi="Times New Roman" w:cs="Times New Roman"/>
        </w:rPr>
        <w:t xml:space="preserve"> however</w:t>
      </w:r>
      <w:r w:rsidR="008F3308" w:rsidRPr="0012395A">
        <w:rPr>
          <w:rFonts w:ascii="Times New Roman" w:hAnsi="Times New Roman" w:cs="Times New Roman"/>
        </w:rPr>
        <w:t xml:space="preserve">, </w:t>
      </w:r>
      <w:r w:rsidR="00607BD7" w:rsidRPr="0012395A">
        <w:rPr>
          <w:rFonts w:ascii="Times New Roman" w:hAnsi="Times New Roman" w:cs="Times New Roman"/>
        </w:rPr>
        <w:t>Advocate Gener</w:t>
      </w:r>
      <w:r w:rsidR="00F9147F" w:rsidRPr="0012395A">
        <w:rPr>
          <w:rFonts w:ascii="Times New Roman" w:hAnsi="Times New Roman" w:cs="Times New Roman"/>
        </w:rPr>
        <w:t xml:space="preserve">al </w:t>
      </w:r>
      <w:r w:rsidR="00445AC7">
        <w:rPr>
          <w:rFonts w:ascii="Times New Roman" w:hAnsi="Times New Roman" w:cs="Times New Roman"/>
        </w:rPr>
        <w:t xml:space="preserve">(“AG”) </w:t>
      </w:r>
      <w:proofErr w:type="spellStart"/>
      <w:r w:rsidR="00F9147F" w:rsidRPr="0012395A">
        <w:rPr>
          <w:rFonts w:ascii="Times New Roman" w:hAnsi="Times New Roman" w:cs="Times New Roman"/>
        </w:rPr>
        <w:t>Kokott</w:t>
      </w:r>
      <w:proofErr w:type="spellEnd"/>
      <w:r w:rsidR="00F9147F" w:rsidRPr="0012395A">
        <w:rPr>
          <w:rFonts w:ascii="Times New Roman" w:hAnsi="Times New Roman" w:cs="Times New Roman"/>
        </w:rPr>
        <w:t xml:space="preserve"> went further than this commonly recurring theme </w:t>
      </w:r>
      <w:r w:rsidR="00607BD7" w:rsidRPr="0012395A">
        <w:rPr>
          <w:rFonts w:ascii="Times New Roman" w:hAnsi="Times New Roman" w:cs="Times New Roman"/>
        </w:rPr>
        <w:t>and actually used the term “</w:t>
      </w:r>
      <w:r w:rsidR="00607BD7" w:rsidRPr="0012395A">
        <w:rPr>
          <w:rFonts w:ascii="Times New Roman" w:hAnsi="Times New Roman" w:cs="Times New Roman"/>
          <w:i/>
        </w:rPr>
        <w:t>per se</w:t>
      </w:r>
      <w:r w:rsidR="00F9147F" w:rsidRPr="0012395A">
        <w:rPr>
          <w:rFonts w:ascii="Times New Roman" w:hAnsi="Times New Roman" w:cs="Times New Roman"/>
        </w:rPr>
        <w:t xml:space="preserve"> prohibition,” justifying </w:t>
      </w:r>
      <w:r w:rsidR="00C634ED">
        <w:rPr>
          <w:rFonts w:ascii="Times New Roman" w:hAnsi="Times New Roman" w:cs="Times New Roman"/>
        </w:rPr>
        <w:t>the</w:t>
      </w:r>
      <w:r w:rsidR="00D7370F">
        <w:rPr>
          <w:rFonts w:ascii="Times New Roman" w:hAnsi="Times New Roman" w:cs="Times New Roman"/>
        </w:rPr>
        <w:t xml:space="preserve"> standard in part by noting the benefits of </w:t>
      </w:r>
      <w:r w:rsidR="00607BD7" w:rsidRPr="0012395A">
        <w:rPr>
          <w:rFonts w:ascii="Times New Roman" w:hAnsi="Times New Roman" w:cs="Times New Roman"/>
        </w:rPr>
        <w:t>legal certainty for undertakings and conservation of enforcement and judicial resources.</w:t>
      </w:r>
      <w:r w:rsidR="00F9147F" w:rsidRPr="0012395A">
        <w:rPr>
          <w:rStyle w:val="EndnoteReference"/>
          <w:rFonts w:ascii="Times New Roman" w:hAnsi="Times New Roman" w:cs="Times New Roman"/>
        </w:rPr>
        <w:endnoteReference w:id="11"/>
      </w:r>
      <w:r w:rsidR="00607BD7" w:rsidRPr="0012395A">
        <w:rPr>
          <w:rFonts w:ascii="Times New Roman" w:hAnsi="Times New Roman" w:cs="Times New Roman"/>
        </w:rPr>
        <w:t xml:space="preserve"> </w:t>
      </w:r>
      <w:r w:rsidR="003E1CDE" w:rsidRPr="0012395A">
        <w:rPr>
          <w:rFonts w:ascii="Times New Roman" w:hAnsi="Times New Roman" w:cs="Times New Roman"/>
        </w:rPr>
        <w:t xml:space="preserve"> Granted, even a</w:t>
      </w:r>
      <w:r w:rsidR="00C634ED">
        <w:rPr>
          <w:rFonts w:ascii="Times New Roman" w:hAnsi="Times New Roman" w:cs="Times New Roman"/>
        </w:rPr>
        <w:t xml:space="preserve">bsent </w:t>
      </w:r>
      <w:proofErr w:type="spellStart"/>
      <w:r w:rsidR="00C634ED">
        <w:rPr>
          <w:rFonts w:ascii="Times New Roman" w:hAnsi="Times New Roman" w:cs="Times New Roman"/>
        </w:rPr>
        <w:t>Kokott’s</w:t>
      </w:r>
      <w:proofErr w:type="spellEnd"/>
      <w:r w:rsidR="00C634ED">
        <w:rPr>
          <w:rFonts w:ascii="Times New Roman" w:hAnsi="Times New Roman" w:cs="Times New Roman"/>
        </w:rPr>
        <w:t xml:space="preserve"> recognition of a</w:t>
      </w:r>
      <w:r w:rsidR="003E1CDE" w:rsidRPr="0012395A">
        <w:rPr>
          <w:rFonts w:ascii="Times New Roman" w:hAnsi="Times New Roman" w:cs="Times New Roman"/>
        </w:rPr>
        <w:t xml:space="preserve"> </w:t>
      </w:r>
      <w:r w:rsidR="003E1CDE" w:rsidRPr="0012395A">
        <w:rPr>
          <w:rFonts w:ascii="Times New Roman" w:hAnsi="Times New Roman" w:cs="Times New Roman"/>
          <w:i/>
        </w:rPr>
        <w:t>per se</w:t>
      </w:r>
      <w:r w:rsidR="003E1CDE" w:rsidRPr="0012395A">
        <w:rPr>
          <w:rFonts w:ascii="Times New Roman" w:hAnsi="Times New Roman" w:cs="Times New Roman"/>
        </w:rPr>
        <w:t xml:space="preserve"> rule, </w:t>
      </w:r>
      <w:r w:rsidR="00607BD7" w:rsidRPr="0012395A">
        <w:rPr>
          <w:rFonts w:ascii="Times New Roman" w:hAnsi="Times New Roman" w:cs="Times New Roman"/>
        </w:rPr>
        <w:t>t</w:t>
      </w:r>
      <w:r w:rsidR="006C7663" w:rsidRPr="0012395A">
        <w:rPr>
          <w:rFonts w:ascii="Times New Roman" w:hAnsi="Times New Roman" w:cs="Times New Roman"/>
        </w:rPr>
        <w:t xml:space="preserve">he unilateral information exchange </w:t>
      </w:r>
      <w:r w:rsidR="00C41C74" w:rsidRPr="0012395A">
        <w:rPr>
          <w:rFonts w:ascii="Times New Roman" w:hAnsi="Times New Roman" w:cs="Times New Roman"/>
        </w:rPr>
        <w:t xml:space="preserve">in </w:t>
      </w:r>
      <w:r w:rsidR="00C41C74" w:rsidRPr="0012395A">
        <w:rPr>
          <w:rFonts w:ascii="Times New Roman" w:hAnsi="Times New Roman" w:cs="Times New Roman"/>
          <w:i/>
        </w:rPr>
        <w:t xml:space="preserve">T-Mobile </w:t>
      </w:r>
      <w:r w:rsidR="003E1CDE" w:rsidRPr="0012395A">
        <w:rPr>
          <w:rFonts w:ascii="Times New Roman" w:hAnsi="Times New Roman" w:cs="Times New Roman"/>
        </w:rPr>
        <w:t>may very well have been</w:t>
      </w:r>
      <w:r w:rsidR="006C7663" w:rsidRPr="0012395A">
        <w:rPr>
          <w:rFonts w:ascii="Times New Roman" w:hAnsi="Times New Roman" w:cs="Times New Roman"/>
        </w:rPr>
        <w:t xml:space="preserve"> deemed </w:t>
      </w:r>
      <w:r w:rsidR="004B0FAC" w:rsidRPr="0012395A">
        <w:rPr>
          <w:rFonts w:ascii="Times New Roman" w:hAnsi="Times New Roman" w:cs="Times New Roman"/>
        </w:rPr>
        <w:t>to</w:t>
      </w:r>
      <w:r w:rsidR="00607BD7" w:rsidRPr="0012395A">
        <w:rPr>
          <w:rFonts w:ascii="Times New Roman" w:hAnsi="Times New Roman" w:cs="Times New Roman"/>
        </w:rPr>
        <w:t xml:space="preserve"> hav</w:t>
      </w:r>
      <w:r w:rsidR="003E1CDE" w:rsidRPr="0012395A">
        <w:rPr>
          <w:rFonts w:ascii="Times New Roman" w:hAnsi="Times New Roman" w:cs="Times New Roman"/>
        </w:rPr>
        <w:t xml:space="preserve">e an anticompetitive object under the </w:t>
      </w:r>
      <w:r w:rsidR="003E1CDE" w:rsidRPr="0012395A">
        <w:rPr>
          <w:rFonts w:ascii="Times New Roman" w:hAnsi="Times New Roman" w:cs="Times New Roman"/>
          <w:i/>
        </w:rPr>
        <w:t>Beef Industry</w:t>
      </w:r>
      <w:r w:rsidR="003E1CDE" w:rsidRPr="0012395A">
        <w:rPr>
          <w:rFonts w:ascii="Times New Roman" w:hAnsi="Times New Roman" w:cs="Times New Roman"/>
        </w:rPr>
        <w:t xml:space="preserve"> standard.  T</w:t>
      </w:r>
      <w:r w:rsidR="004B0FAC" w:rsidRPr="0012395A">
        <w:rPr>
          <w:rFonts w:ascii="Times New Roman" w:hAnsi="Times New Roman" w:cs="Times New Roman"/>
        </w:rPr>
        <w:t xml:space="preserve">he </w:t>
      </w:r>
      <w:r w:rsidR="00C634ED">
        <w:rPr>
          <w:rFonts w:ascii="Times New Roman" w:hAnsi="Times New Roman" w:cs="Times New Roman"/>
        </w:rPr>
        <w:t>ECJ’s</w:t>
      </w:r>
      <w:r w:rsidR="00AE7A97" w:rsidRPr="0012395A">
        <w:rPr>
          <w:rFonts w:ascii="Times New Roman" w:hAnsi="Times New Roman" w:cs="Times New Roman"/>
        </w:rPr>
        <w:t xml:space="preserve"> </w:t>
      </w:r>
      <w:r w:rsidR="004B0FAC" w:rsidRPr="0012395A">
        <w:rPr>
          <w:rFonts w:ascii="Times New Roman" w:hAnsi="Times New Roman" w:cs="Times New Roman"/>
        </w:rPr>
        <w:t xml:space="preserve">inquiry into the actual effects of </w:t>
      </w:r>
      <w:r w:rsidR="00607BD7" w:rsidRPr="0012395A">
        <w:rPr>
          <w:rFonts w:ascii="Times New Roman" w:hAnsi="Times New Roman" w:cs="Times New Roman"/>
        </w:rPr>
        <w:t xml:space="preserve">such an </w:t>
      </w:r>
      <w:r w:rsidR="004B0FAC" w:rsidRPr="0012395A">
        <w:rPr>
          <w:rFonts w:ascii="Times New Roman" w:hAnsi="Times New Roman" w:cs="Times New Roman"/>
        </w:rPr>
        <w:t xml:space="preserve">agreement </w:t>
      </w:r>
      <w:r w:rsidR="003E1CDE" w:rsidRPr="0012395A">
        <w:rPr>
          <w:rFonts w:ascii="Times New Roman" w:hAnsi="Times New Roman" w:cs="Times New Roman"/>
        </w:rPr>
        <w:t xml:space="preserve">would </w:t>
      </w:r>
      <w:r w:rsidR="00C634ED">
        <w:rPr>
          <w:rFonts w:ascii="Times New Roman" w:hAnsi="Times New Roman" w:cs="Times New Roman"/>
        </w:rPr>
        <w:t xml:space="preserve">nevertheless </w:t>
      </w:r>
      <w:r w:rsidR="003E1CDE" w:rsidRPr="0012395A">
        <w:rPr>
          <w:rFonts w:ascii="Times New Roman" w:hAnsi="Times New Roman" w:cs="Times New Roman"/>
        </w:rPr>
        <w:t>end</w:t>
      </w:r>
      <w:r w:rsidR="004B0FAC" w:rsidRPr="0012395A">
        <w:rPr>
          <w:rFonts w:ascii="Times New Roman" w:hAnsi="Times New Roman" w:cs="Times New Roman"/>
        </w:rPr>
        <w:t xml:space="preserve"> in a similar manner as </w:t>
      </w:r>
      <w:r w:rsidR="003E1CDE" w:rsidRPr="0012395A">
        <w:rPr>
          <w:rFonts w:ascii="Times New Roman" w:hAnsi="Times New Roman" w:cs="Times New Roman"/>
        </w:rPr>
        <w:t xml:space="preserve">would </w:t>
      </w:r>
      <w:r w:rsidR="00C634ED">
        <w:rPr>
          <w:rFonts w:ascii="Times New Roman" w:hAnsi="Times New Roman" w:cs="Times New Roman"/>
        </w:rPr>
        <w:lastRenderedPageBreak/>
        <w:t xml:space="preserve">that of a </w:t>
      </w:r>
      <w:r w:rsidR="003E1CDE" w:rsidRPr="0012395A">
        <w:rPr>
          <w:rFonts w:ascii="Times New Roman" w:hAnsi="Times New Roman" w:cs="Times New Roman"/>
        </w:rPr>
        <w:t>Supreme Court</w:t>
      </w:r>
      <w:r w:rsidR="004B0FAC" w:rsidRPr="0012395A">
        <w:rPr>
          <w:rFonts w:ascii="Times New Roman" w:hAnsi="Times New Roman" w:cs="Times New Roman"/>
        </w:rPr>
        <w:t xml:space="preserve"> </w:t>
      </w:r>
      <w:r w:rsidR="004B0FAC" w:rsidRPr="0012395A">
        <w:rPr>
          <w:rFonts w:ascii="Times New Roman" w:hAnsi="Times New Roman" w:cs="Times New Roman"/>
          <w:i/>
        </w:rPr>
        <w:t xml:space="preserve">per se </w:t>
      </w:r>
      <w:r w:rsidR="001F3537" w:rsidRPr="0012395A">
        <w:rPr>
          <w:rFonts w:ascii="Times New Roman" w:hAnsi="Times New Roman" w:cs="Times New Roman"/>
        </w:rPr>
        <w:t>analysis</w:t>
      </w:r>
      <w:r w:rsidR="00C634ED">
        <w:rPr>
          <w:rFonts w:ascii="Times New Roman" w:hAnsi="Times New Roman" w:cs="Times New Roman"/>
        </w:rPr>
        <w:t>,</w:t>
      </w:r>
      <w:r w:rsidR="004B0FAC" w:rsidRPr="0012395A">
        <w:rPr>
          <w:rFonts w:ascii="Times New Roman" w:hAnsi="Times New Roman" w:cs="Times New Roman"/>
        </w:rPr>
        <w:t xml:space="preserve"> </w:t>
      </w:r>
      <w:r w:rsidR="003E1CDE" w:rsidRPr="0012395A">
        <w:rPr>
          <w:rFonts w:ascii="Times New Roman" w:hAnsi="Times New Roman" w:cs="Times New Roman"/>
        </w:rPr>
        <w:t>but the use of the term “</w:t>
      </w:r>
      <w:r w:rsidR="003E1CDE" w:rsidRPr="0012395A">
        <w:rPr>
          <w:rFonts w:ascii="Times New Roman" w:hAnsi="Times New Roman" w:cs="Times New Roman"/>
          <w:i/>
        </w:rPr>
        <w:t>per se</w:t>
      </w:r>
      <w:r w:rsidR="003E1CDE" w:rsidRPr="0012395A">
        <w:rPr>
          <w:rFonts w:ascii="Times New Roman" w:hAnsi="Times New Roman" w:cs="Times New Roman"/>
        </w:rPr>
        <w:t xml:space="preserve">” in an EU competition decision is a marked development. </w:t>
      </w:r>
    </w:p>
    <w:p w14:paraId="5F0624A6" w14:textId="700F0B7D" w:rsidR="00582C84" w:rsidRPr="0012395A" w:rsidRDefault="00582C84" w:rsidP="00864B96">
      <w:pPr>
        <w:spacing w:line="480" w:lineRule="auto"/>
        <w:rPr>
          <w:rFonts w:ascii="Times New Roman" w:hAnsi="Times New Roman" w:cs="Times New Roman"/>
        </w:rPr>
      </w:pPr>
      <w:r w:rsidRPr="0012395A">
        <w:rPr>
          <w:rFonts w:ascii="Times New Roman" w:hAnsi="Times New Roman" w:cs="Times New Roman"/>
        </w:rPr>
        <w:tab/>
      </w:r>
      <w:r w:rsidR="00773482" w:rsidRPr="0012395A">
        <w:rPr>
          <w:rFonts w:ascii="Times New Roman" w:hAnsi="Times New Roman" w:cs="Times New Roman"/>
        </w:rPr>
        <w:t xml:space="preserve">In </w:t>
      </w:r>
      <w:r w:rsidR="003E1CDE" w:rsidRPr="0012395A">
        <w:rPr>
          <w:rFonts w:ascii="Times New Roman" w:hAnsi="Times New Roman" w:cs="Times New Roman"/>
        </w:rPr>
        <w:t xml:space="preserve">a more recent </w:t>
      </w:r>
      <w:r w:rsidR="00213A06">
        <w:rPr>
          <w:rFonts w:ascii="Times New Roman" w:hAnsi="Times New Roman" w:cs="Times New Roman"/>
        </w:rPr>
        <w:t>CJEU</w:t>
      </w:r>
      <w:r w:rsidR="00773482" w:rsidRPr="0012395A">
        <w:rPr>
          <w:rFonts w:ascii="Times New Roman" w:hAnsi="Times New Roman" w:cs="Times New Roman"/>
        </w:rPr>
        <w:t xml:space="preserve"> decision</w:t>
      </w:r>
      <w:r w:rsidR="003E1CDE" w:rsidRPr="0012395A">
        <w:rPr>
          <w:rFonts w:ascii="Times New Roman" w:hAnsi="Times New Roman" w:cs="Times New Roman"/>
        </w:rPr>
        <w:t>,</w:t>
      </w:r>
      <w:r w:rsidR="00773482" w:rsidRPr="0012395A">
        <w:rPr>
          <w:rFonts w:ascii="Times New Roman" w:hAnsi="Times New Roman" w:cs="Times New Roman"/>
        </w:rPr>
        <w:t xml:space="preserve"> regarding the </w:t>
      </w:r>
      <w:hyperlink r:id="rId10" w:history="1">
        <w:proofErr w:type="spellStart"/>
        <w:r w:rsidR="00DB10A8" w:rsidRPr="00DB10A8">
          <w:rPr>
            <w:rStyle w:val="Hyperlink"/>
            <w:rFonts w:ascii="Times New Roman" w:hAnsi="Times New Roman" w:cs="Times New Roman"/>
          </w:rPr>
          <w:t>Autorité</w:t>
        </w:r>
        <w:proofErr w:type="spellEnd"/>
        <w:r w:rsidR="00DB10A8" w:rsidRPr="00DB10A8">
          <w:rPr>
            <w:rStyle w:val="Hyperlink"/>
            <w:rFonts w:ascii="Times New Roman" w:hAnsi="Times New Roman" w:cs="Times New Roman"/>
          </w:rPr>
          <w:t xml:space="preserve"> de la concurrence</w:t>
        </w:r>
      </w:hyperlink>
      <w:r w:rsidR="00DB10A8">
        <w:rPr>
          <w:rFonts w:ascii="Times New Roman" w:hAnsi="Times New Roman" w:cs="Times New Roman"/>
        </w:rPr>
        <w:t>’s (the French competition authority)</w:t>
      </w:r>
      <w:r w:rsidR="00773482" w:rsidRPr="0012395A">
        <w:rPr>
          <w:rFonts w:ascii="Times New Roman" w:hAnsi="Times New Roman" w:cs="Times New Roman"/>
        </w:rPr>
        <w:t xml:space="preserve"> regulation of a joint venture between </w:t>
      </w:r>
      <w:r w:rsidR="0073760F">
        <w:rPr>
          <w:rFonts w:ascii="Times New Roman" w:hAnsi="Times New Roman" w:cs="Times New Roman"/>
        </w:rPr>
        <w:t xml:space="preserve">online ticketing agent, </w:t>
      </w:r>
      <w:r w:rsidR="00773482" w:rsidRPr="0012395A">
        <w:rPr>
          <w:rFonts w:ascii="Times New Roman" w:hAnsi="Times New Roman" w:cs="Times New Roman"/>
        </w:rPr>
        <w:t>Expedia</w:t>
      </w:r>
      <w:r w:rsidR="0073760F">
        <w:rPr>
          <w:rFonts w:ascii="Times New Roman" w:hAnsi="Times New Roman" w:cs="Times New Roman"/>
        </w:rPr>
        <w:t>,</w:t>
      </w:r>
      <w:r w:rsidR="00773482" w:rsidRPr="0012395A">
        <w:rPr>
          <w:rFonts w:ascii="Times New Roman" w:hAnsi="Times New Roman" w:cs="Times New Roman"/>
        </w:rPr>
        <w:t xml:space="preserve"> and </w:t>
      </w:r>
      <w:r w:rsidR="0073760F">
        <w:rPr>
          <w:rFonts w:ascii="Times New Roman" w:hAnsi="Times New Roman" w:cs="Times New Roman"/>
        </w:rPr>
        <w:t xml:space="preserve">rail operator, </w:t>
      </w:r>
      <w:r w:rsidR="00773482" w:rsidRPr="0012395A">
        <w:rPr>
          <w:rFonts w:ascii="Times New Roman" w:hAnsi="Times New Roman" w:cs="Times New Roman"/>
        </w:rPr>
        <w:t>SNCF</w:t>
      </w:r>
      <w:r w:rsidR="0073760F">
        <w:rPr>
          <w:rFonts w:ascii="Times New Roman" w:hAnsi="Times New Roman" w:cs="Times New Roman"/>
        </w:rPr>
        <w:t>,</w:t>
      </w:r>
      <w:r w:rsidR="00773482" w:rsidRPr="0012395A">
        <w:rPr>
          <w:rFonts w:ascii="Times New Roman" w:hAnsi="Times New Roman" w:cs="Times New Roman"/>
        </w:rPr>
        <w:t xml:space="preserve"> to sell train tickets online</w:t>
      </w:r>
      <w:r w:rsidR="00BD0399" w:rsidRPr="0012395A">
        <w:rPr>
          <w:rFonts w:ascii="Times New Roman" w:hAnsi="Times New Roman" w:cs="Times New Roman"/>
        </w:rPr>
        <w:t xml:space="preserve">, </w:t>
      </w:r>
      <w:r w:rsidR="003E1CDE" w:rsidRPr="0012395A">
        <w:rPr>
          <w:rFonts w:ascii="Times New Roman" w:hAnsi="Times New Roman" w:cs="Times New Roman"/>
        </w:rPr>
        <w:t xml:space="preserve">the </w:t>
      </w:r>
      <w:r w:rsidR="00445AC7">
        <w:rPr>
          <w:rFonts w:ascii="Times New Roman" w:hAnsi="Times New Roman" w:cs="Times New Roman"/>
        </w:rPr>
        <w:t xml:space="preserve">AG </w:t>
      </w:r>
      <w:r w:rsidR="003E1CDE" w:rsidRPr="0012395A">
        <w:rPr>
          <w:rFonts w:ascii="Times New Roman" w:hAnsi="Times New Roman" w:cs="Times New Roman"/>
        </w:rPr>
        <w:t xml:space="preserve">reverted back to the </w:t>
      </w:r>
      <w:r w:rsidR="007E02A2">
        <w:rPr>
          <w:rFonts w:ascii="Times New Roman" w:hAnsi="Times New Roman" w:cs="Times New Roman"/>
        </w:rPr>
        <w:t xml:space="preserve">previously quoted </w:t>
      </w:r>
      <w:r w:rsidR="00BD0399" w:rsidRPr="0012395A">
        <w:rPr>
          <w:rFonts w:ascii="Times New Roman" w:hAnsi="Times New Roman" w:cs="Times New Roman"/>
          <w:i/>
        </w:rPr>
        <w:t xml:space="preserve">Beef Industry </w:t>
      </w:r>
      <w:r w:rsidR="003E1CDE" w:rsidRPr="0012395A">
        <w:rPr>
          <w:rFonts w:ascii="Times New Roman" w:hAnsi="Times New Roman" w:cs="Times New Roman"/>
        </w:rPr>
        <w:t xml:space="preserve">language </w:t>
      </w:r>
      <w:r w:rsidR="007E02A2">
        <w:rPr>
          <w:rFonts w:ascii="Times New Roman" w:hAnsi="Times New Roman" w:cs="Times New Roman"/>
        </w:rPr>
        <w:t>regarding the justification</w:t>
      </w:r>
      <w:r w:rsidR="00D7370F">
        <w:rPr>
          <w:rFonts w:ascii="Times New Roman" w:hAnsi="Times New Roman" w:cs="Times New Roman"/>
        </w:rPr>
        <w:t xml:space="preserve"> to prohibit</w:t>
      </w:r>
      <w:r w:rsidR="007E02A2">
        <w:rPr>
          <w:rFonts w:ascii="Times New Roman" w:hAnsi="Times New Roman" w:cs="Times New Roman"/>
        </w:rPr>
        <w:t xml:space="preserve"> “certain </w:t>
      </w:r>
      <w:r w:rsidR="00BD0399" w:rsidRPr="0012395A">
        <w:rPr>
          <w:rFonts w:ascii="Times New Roman" w:hAnsi="Times New Roman" w:cs="Times New Roman"/>
        </w:rPr>
        <w:t>forms of collusion.”</w:t>
      </w:r>
      <w:r w:rsidR="00BD0399" w:rsidRPr="0012395A">
        <w:rPr>
          <w:rStyle w:val="EndnoteReference"/>
          <w:rFonts w:ascii="Times New Roman" w:hAnsi="Times New Roman" w:cs="Times New Roman"/>
        </w:rPr>
        <w:endnoteReference w:id="12"/>
      </w:r>
      <w:r w:rsidR="003E1CDE" w:rsidRPr="0012395A">
        <w:rPr>
          <w:rFonts w:ascii="Times New Roman" w:hAnsi="Times New Roman" w:cs="Times New Roman"/>
        </w:rPr>
        <w:t xml:space="preserve">  In this</w:t>
      </w:r>
      <w:r w:rsidR="00BD0399" w:rsidRPr="0012395A">
        <w:rPr>
          <w:rFonts w:ascii="Times New Roman" w:hAnsi="Times New Roman" w:cs="Times New Roman"/>
        </w:rPr>
        <w:t xml:space="preserve"> case, the </w:t>
      </w:r>
      <w:r w:rsidR="00213A06">
        <w:rPr>
          <w:rFonts w:ascii="Times New Roman" w:hAnsi="Times New Roman" w:cs="Times New Roman"/>
        </w:rPr>
        <w:t>CJEU</w:t>
      </w:r>
      <w:r w:rsidR="00BD0399" w:rsidRPr="0012395A">
        <w:rPr>
          <w:rFonts w:ascii="Times New Roman" w:hAnsi="Times New Roman" w:cs="Times New Roman"/>
        </w:rPr>
        <w:t xml:space="preserve"> was answering the question of whether a member state was bound to follow the 10% market share </w:t>
      </w:r>
      <w:r w:rsidR="00BD0399" w:rsidRPr="0012395A">
        <w:rPr>
          <w:rFonts w:ascii="Times New Roman" w:hAnsi="Times New Roman" w:cs="Times New Roman"/>
          <w:i/>
        </w:rPr>
        <w:t xml:space="preserve">de </w:t>
      </w:r>
      <w:proofErr w:type="spellStart"/>
      <w:r w:rsidR="00BD0399" w:rsidRPr="0012395A">
        <w:rPr>
          <w:rFonts w:ascii="Times New Roman" w:hAnsi="Times New Roman" w:cs="Times New Roman"/>
          <w:i/>
        </w:rPr>
        <w:t>minimis</w:t>
      </w:r>
      <w:proofErr w:type="spellEnd"/>
      <w:r w:rsidR="00BD0399" w:rsidRPr="0012395A">
        <w:rPr>
          <w:rFonts w:ascii="Times New Roman" w:hAnsi="Times New Roman" w:cs="Times New Roman"/>
          <w:i/>
        </w:rPr>
        <w:t xml:space="preserve"> </w:t>
      </w:r>
      <w:r w:rsidR="00BD0399" w:rsidRPr="0012395A">
        <w:rPr>
          <w:rFonts w:ascii="Times New Roman" w:hAnsi="Times New Roman" w:cs="Times New Roman"/>
        </w:rPr>
        <w:t>standard</w:t>
      </w:r>
      <w:r w:rsidR="00C06A38" w:rsidRPr="0012395A">
        <w:rPr>
          <w:rFonts w:ascii="Times New Roman" w:hAnsi="Times New Roman" w:cs="Times New Roman"/>
        </w:rPr>
        <w:t xml:space="preserve"> set forth</w:t>
      </w:r>
      <w:r w:rsidR="00BD0399" w:rsidRPr="0012395A">
        <w:rPr>
          <w:rFonts w:ascii="Times New Roman" w:hAnsi="Times New Roman" w:cs="Times New Roman"/>
        </w:rPr>
        <w:t xml:space="preserve"> in Coun</w:t>
      </w:r>
      <w:r w:rsidR="00A30B95" w:rsidRPr="0012395A">
        <w:rPr>
          <w:rFonts w:ascii="Times New Roman" w:hAnsi="Times New Roman" w:cs="Times New Roman"/>
        </w:rPr>
        <w:t>ci</w:t>
      </w:r>
      <w:r w:rsidR="00BD0399" w:rsidRPr="0012395A">
        <w:rPr>
          <w:rFonts w:ascii="Times New Roman" w:hAnsi="Times New Roman" w:cs="Times New Roman"/>
        </w:rPr>
        <w:t xml:space="preserve">l Regulation (EC) No.1/2003.  </w:t>
      </w:r>
      <w:r w:rsidR="00C06A38" w:rsidRPr="0012395A">
        <w:rPr>
          <w:rFonts w:ascii="Times New Roman" w:hAnsi="Times New Roman" w:cs="Times New Roman"/>
        </w:rPr>
        <w:t xml:space="preserve">The </w:t>
      </w:r>
      <w:r w:rsidR="00213A06">
        <w:rPr>
          <w:rFonts w:ascii="Times New Roman" w:hAnsi="Times New Roman" w:cs="Times New Roman"/>
        </w:rPr>
        <w:t>CJEU</w:t>
      </w:r>
      <w:r w:rsidR="00C06A38" w:rsidRPr="0012395A">
        <w:rPr>
          <w:rFonts w:ascii="Times New Roman" w:hAnsi="Times New Roman" w:cs="Times New Roman"/>
        </w:rPr>
        <w:t xml:space="preserve"> found once again </w:t>
      </w:r>
      <w:r w:rsidR="007E02A2">
        <w:rPr>
          <w:rFonts w:ascii="Times New Roman" w:hAnsi="Times New Roman" w:cs="Times New Roman"/>
        </w:rPr>
        <w:t xml:space="preserve">here </w:t>
      </w:r>
      <w:r w:rsidR="00C06A38" w:rsidRPr="0012395A">
        <w:rPr>
          <w:rFonts w:ascii="Times New Roman" w:hAnsi="Times New Roman" w:cs="Times New Roman"/>
        </w:rPr>
        <w:t>that “there is no need to take account of the concrete effects of an agreement once it appears that it has as its object the prevention, restriction or distortion of competition</w:t>
      </w:r>
      <w:r w:rsidR="003E1CDE" w:rsidRPr="0012395A">
        <w:rPr>
          <w:rFonts w:ascii="Times New Roman" w:hAnsi="Times New Roman" w:cs="Times New Roman"/>
        </w:rPr>
        <w:t>.</w:t>
      </w:r>
      <w:r w:rsidR="00C06A38" w:rsidRPr="0012395A">
        <w:rPr>
          <w:rFonts w:ascii="Times New Roman" w:hAnsi="Times New Roman" w:cs="Times New Roman"/>
        </w:rPr>
        <w:t>”</w:t>
      </w:r>
      <w:r w:rsidR="00C06A38" w:rsidRPr="0012395A">
        <w:rPr>
          <w:rStyle w:val="EndnoteReference"/>
          <w:rFonts w:ascii="Times New Roman" w:hAnsi="Times New Roman" w:cs="Times New Roman"/>
        </w:rPr>
        <w:endnoteReference w:id="13"/>
      </w:r>
      <w:r w:rsidR="00C06A38" w:rsidRPr="0012395A">
        <w:rPr>
          <w:rFonts w:ascii="Times New Roman" w:hAnsi="Times New Roman" w:cs="Times New Roman"/>
        </w:rPr>
        <w:t xml:space="preserve"> </w:t>
      </w:r>
      <w:r w:rsidR="003E1CDE" w:rsidRPr="0012395A">
        <w:rPr>
          <w:rFonts w:ascii="Times New Roman" w:hAnsi="Times New Roman" w:cs="Times New Roman"/>
        </w:rPr>
        <w:t xml:space="preserve"> </w:t>
      </w:r>
      <w:r w:rsidR="00195AF7" w:rsidRPr="0012395A">
        <w:rPr>
          <w:rFonts w:ascii="Times New Roman" w:hAnsi="Times New Roman" w:cs="Times New Roman"/>
        </w:rPr>
        <w:t xml:space="preserve">While the term </w:t>
      </w:r>
      <w:r w:rsidR="001F359D">
        <w:rPr>
          <w:rFonts w:ascii="Times New Roman" w:hAnsi="Times New Roman" w:cs="Times New Roman"/>
        </w:rPr>
        <w:t>“</w:t>
      </w:r>
      <w:r w:rsidR="00195AF7" w:rsidRPr="0012395A">
        <w:rPr>
          <w:rFonts w:ascii="Times New Roman" w:hAnsi="Times New Roman" w:cs="Times New Roman"/>
          <w:i/>
        </w:rPr>
        <w:t xml:space="preserve">per </w:t>
      </w:r>
      <w:r w:rsidR="00195AF7" w:rsidRPr="001F359D">
        <w:rPr>
          <w:rFonts w:ascii="Times New Roman" w:hAnsi="Times New Roman" w:cs="Times New Roman"/>
          <w:i/>
        </w:rPr>
        <w:t>se</w:t>
      </w:r>
      <w:r w:rsidR="001F359D">
        <w:rPr>
          <w:rFonts w:ascii="Times New Roman" w:hAnsi="Times New Roman" w:cs="Times New Roman"/>
        </w:rPr>
        <w:t>”</w:t>
      </w:r>
      <w:r w:rsidR="00195AF7" w:rsidRPr="0012395A">
        <w:rPr>
          <w:rFonts w:ascii="Times New Roman" w:hAnsi="Times New Roman" w:cs="Times New Roman"/>
        </w:rPr>
        <w:t xml:space="preserve"> did not make another appearance in this opinion, it</w:t>
      </w:r>
      <w:r w:rsidR="00D7370F">
        <w:rPr>
          <w:rFonts w:ascii="Times New Roman" w:hAnsi="Times New Roman" w:cs="Times New Roman"/>
        </w:rPr>
        <w:t xml:space="preserve"> seems</w:t>
      </w:r>
      <w:r w:rsidR="00195AF7" w:rsidRPr="0012395A">
        <w:rPr>
          <w:rFonts w:ascii="Times New Roman" w:hAnsi="Times New Roman" w:cs="Times New Roman"/>
        </w:rPr>
        <w:t xml:space="preserve"> </w:t>
      </w:r>
      <w:r w:rsidR="00C06A38" w:rsidRPr="0012395A">
        <w:rPr>
          <w:rFonts w:ascii="Times New Roman" w:hAnsi="Times New Roman" w:cs="Times New Roman"/>
        </w:rPr>
        <w:t xml:space="preserve">the </w:t>
      </w:r>
      <w:r w:rsidR="00195AF7" w:rsidRPr="0012395A">
        <w:rPr>
          <w:rFonts w:ascii="Times New Roman" w:hAnsi="Times New Roman" w:cs="Times New Roman"/>
        </w:rPr>
        <w:t xml:space="preserve">Court </w:t>
      </w:r>
      <w:r w:rsidR="00DB10A8">
        <w:rPr>
          <w:rFonts w:ascii="Times New Roman" w:hAnsi="Times New Roman" w:cs="Times New Roman"/>
        </w:rPr>
        <w:t>favored</w:t>
      </w:r>
      <w:r w:rsidR="00195AF7" w:rsidRPr="0012395A">
        <w:rPr>
          <w:rFonts w:ascii="Times New Roman" w:hAnsi="Times New Roman" w:cs="Times New Roman"/>
        </w:rPr>
        <w:t xml:space="preserve"> </w:t>
      </w:r>
      <w:r w:rsidR="00195AF7" w:rsidRPr="0012395A">
        <w:rPr>
          <w:rFonts w:ascii="Times New Roman" w:hAnsi="Times New Roman" w:cs="Times New Roman"/>
          <w:i/>
        </w:rPr>
        <w:t xml:space="preserve">per se </w:t>
      </w:r>
      <w:r w:rsidR="00195AF7" w:rsidRPr="0012395A">
        <w:rPr>
          <w:rFonts w:ascii="Times New Roman" w:hAnsi="Times New Roman" w:cs="Times New Roman"/>
        </w:rPr>
        <w:t>type thinking rather than undertaking</w:t>
      </w:r>
      <w:r w:rsidR="00D7370F">
        <w:rPr>
          <w:rFonts w:ascii="Times New Roman" w:hAnsi="Times New Roman" w:cs="Times New Roman"/>
        </w:rPr>
        <w:t xml:space="preserve"> or requiring an</w:t>
      </w:r>
      <w:r w:rsidR="00195AF7" w:rsidRPr="0012395A">
        <w:rPr>
          <w:rFonts w:ascii="Times New Roman" w:hAnsi="Times New Roman" w:cs="Times New Roman"/>
        </w:rPr>
        <w:t xml:space="preserve"> i</w:t>
      </w:r>
      <w:r w:rsidR="00DB10A8">
        <w:rPr>
          <w:rFonts w:ascii="Times New Roman" w:hAnsi="Times New Roman" w:cs="Times New Roman"/>
        </w:rPr>
        <w:t>n depth analysis, rendering</w:t>
      </w:r>
      <w:r w:rsidR="00195AF7" w:rsidRPr="0012395A">
        <w:rPr>
          <w:rFonts w:ascii="Times New Roman" w:hAnsi="Times New Roman" w:cs="Times New Roman"/>
        </w:rPr>
        <w:t xml:space="preserve"> both the </w:t>
      </w:r>
      <w:r w:rsidR="00C06A38" w:rsidRPr="0012395A">
        <w:rPr>
          <w:rFonts w:ascii="Times New Roman" w:hAnsi="Times New Roman" w:cs="Times New Roman"/>
          <w:i/>
        </w:rPr>
        <w:t xml:space="preserve">de </w:t>
      </w:r>
      <w:proofErr w:type="spellStart"/>
      <w:r w:rsidR="00C06A38" w:rsidRPr="0012395A">
        <w:rPr>
          <w:rFonts w:ascii="Times New Roman" w:hAnsi="Times New Roman" w:cs="Times New Roman"/>
          <w:i/>
        </w:rPr>
        <w:t>minimis</w:t>
      </w:r>
      <w:proofErr w:type="spellEnd"/>
      <w:r w:rsidR="00C06A38" w:rsidRPr="0012395A">
        <w:rPr>
          <w:rFonts w:ascii="Times New Roman" w:hAnsi="Times New Roman" w:cs="Times New Roman"/>
          <w:i/>
        </w:rPr>
        <w:t xml:space="preserve"> </w:t>
      </w:r>
      <w:r w:rsidR="00213A06">
        <w:rPr>
          <w:rFonts w:ascii="Times New Roman" w:hAnsi="Times New Roman" w:cs="Times New Roman"/>
        </w:rPr>
        <w:t>standard and Art.</w:t>
      </w:r>
      <w:r w:rsidR="00C06A38" w:rsidRPr="0012395A">
        <w:rPr>
          <w:rFonts w:ascii="Times New Roman" w:hAnsi="Times New Roman" w:cs="Times New Roman"/>
        </w:rPr>
        <w:t xml:space="preserve"> </w:t>
      </w:r>
      <w:proofErr w:type="gramStart"/>
      <w:r w:rsidR="00C06A38" w:rsidRPr="0012395A">
        <w:rPr>
          <w:rFonts w:ascii="Times New Roman" w:hAnsi="Times New Roman" w:cs="Times New Roman"/>
        </w:rPr>
        <w:t xml:space="preserve">101(3) </w:t>
      </w:r>
      <w:r w:rsidR="00D7370F">
        <w:rPr>
          <w:rFonts w:ascii="Times New Roman" w:hAnsi="Times New Roman" w:cs="Times New Roman"/>
        </w:rPr>
        <w:t>unaddressed</w:t>
      </w:r>
      <w:r w:rsidR="00C06A38" w:rsidRPr="0012395A">
        <w:rPr>
          <w:rFonts w:ascii="Times New Roman" w:hAnsi="Times New Roman" w:cs="Times New Roman"/>
        </w:rPr>
        <w:t>.</w:t>
      </w:r>
      <w:proofErr w:type="gramEnd"/>
      <w:r w:rsidR="00C06A38" w:rsidRPr="0012395A">
        <w:rPr>
          <w:rFonts w:ascii="Times New Roman" w:hAnsi="Times New Roman" w:cs="Times New Roman"/>
        </w:rPr>
        <w:t xml:space="preserve">  </w:t>
      </w:r>
    </w:p>
    <w:p w14:paraId="572DE036" w14:textId="0C38ACE7" w:rsidR="00864B57" w:rsidRPr="0012395A" w:rsidRDefault="00864B57" w:rsidP="00864B96">
      <w:pPr>
        <w:spacing w:line="480" w:lineRule="auto"/>
        <w:rPr>
          <w:rFonts w:ascii="Times New Roman" w:hAnsi="Times New Roman" w:cs="Times New Roman"/>
          <w:b/>
        </w:rPr>
      </w:pPr>
      <w:r w:rsidRPr="0012395A">
        <w:rPr>
          <w:rFonts w:ascii="Times New Roman" w:hAnsi="Times New Roman" w:cs="Times New Roman"/>
          <w:b/>
        </w:rPr>
        <w:t>Comparison/Trends</w:t>
      </w:r>
    </w:p>
    <w:p w14:paraId="6C1A6807" w14:textId="0F5115B9" w:rsidR="000432E9" w:rsidRPr="0012395A" w:rsidRDefault="00064BDE" w:rsidP="00864B96">
      <w:pPr>
        <w:spacing w:line="480" w:lineRule="auto"/>
        <w:rPr>
          <w:rFonts w:ascii="Times New Roman" w:hAnsi="Times New Roman" w:cs="Times New Roman"/>
        </w:rPr>
      </w:pPr>
      <w:r w:rsidRPr="0012395A">
        <w:rPr>
          <w:rFonts w:ascii="Times New Roman" w:hAnsi="Times New Roman" w:cs="Times New Roman"/>
        </w:rPr>
        <w:tab/>
        <w:t>T</w:t>
      </w:r>
      <w:r w:rsidR="00582C84" w:rsidRPr="0012395A">
        <w:rPr>
          <w:rFonts w:ascii="Times New Roman" w:hAnsi="Times New Roman" w:cs="Times New Roman"/>
        </w:rPr>
        <w:t xml:space="preserve">he </w:t>
      </w:r>
      <w:r w:rsidR="00213A06">
        <w:rPr>
          <w:rFonts w:ascii="Times New Roman" w:hAnsi="Times New Roman" w:cs="Times New Roman"/>
        </w:rPr>
        <w:t>CJEU</w:t>
      </w:r>
      <w:r w:rsidR="00515712" w:rsidRPr="0012395A">
        <w:rPr>
          <w:rFonts w:ascii="Times New Roman" w:hAnsi="Times New Roman" w:cs="Times New Roman"/>
        </w:rPr>
        <w:t>’s</w:t>
      </w:r>
      <w:r w:rsidR="006815CC" w:rsidRPr="0012395A">
        <w:rPr>
          <w:rFonts w:ascii="Times New Roman" w:hAnsi="Times New Roman" w:cs="Times New Roman"/>
        </w:rPr>
        <w:t xml:space="preserve"> </w:t>
      </w:r>
      <w:r w:rsidR="00582C84" w:rsidRPr="0012395A">
        <w:rPr>
          <w:rFonts w:ascii="Times New Roman" w:hAnsi="Times New Roman" w:cs="Times New Roman"/>
        </w:rPr>
        <w:t xml:space="preserve">willingness to impose </w:t>
      </w:r>
      <w:r w:rsidR="00582C84" w:rsidRPr="0012395A">
        <w:rPr>
          <w:rFonts w:ascii="Times New Roman" w:hAnsi="Times New Roman" w:cs="Times New Roman"/>
          <w:i/>
        </w:rPr>
        <w:t xml:space="preserve">per se </w:t>
      </w:r>
      <w:r w:rsidR="00582C84" w:rsidRPr="0012395A">
        <w:rPr>
          <w:rFonts w:ascii="Times New Roman" w:hAnsi="Times New Roman" w:cs="Times New Roman"/>
        </w:rPr>
        <w:t xml:space="preserve">rules in competition law </w:t>
      </w:r>
      <w:r w:rsidR="000432E9" w:rsidRPr="0012395A">
        <w:rPr>
          <w:rFonts w:ascii="Times New Roman" w:hAnsi="Times New Roman" w:cs="Times New Roman"/>
        </w:rPr>
        <w:t xml:space="preserve">(whether explicitly or implicitly) </w:t>
      </w:r>
      <w:r w:rsidRPr="0012395A">
        <w:rPr>
          <w:rFonts w:ascii="Times New Roman" w:hAnsi="Times New Roman" w:cs="Times New Roman"/>
        </w:rPr>
        <w:t xml:space="preserve">might suggest </w:t>
      </w:r>
      <w:r w:rsidR="00582C84" w:rsidRPr="0012395A">
        <w:rPr>
          <w:rFonts w:ascii="Times New Roman" w:hAnsi="Times New Roman" w:cs="Times New Roman"/>
        </w:rPr>
        <w:t xml:space="preserve">a </w:t>
      </w:r>
      <w:r w:rsidR="000432E9" w:rsidRPr="0012395A">
        <w:rPr>
          <w:rFonts w:ascii="Times New Roman" w:hAnsi="Times New Roman" w:cs="Times New Roman"/>
        </w:rPr>
        <w:t xml:space="preserve">trend </w:t>
      </w:r>
      <w:r w:rsidR="00582C84" w:rsidRPr="0012395A">
        <w:rPr>
          <w:rFonts w:ascii="Times New Roman" w:hAnsi="Times New Roman" w:cs="Times New Roman"/>
        </w:rPr>
        <w:t xml:space="preserve">in </w:t>
      </w:r>
      <w:r w:rsidR="004115C3" w:rsidRPr="0012395A">
        <w:rPr>
          <w:rFonts w:ascii="Times New Roman" w:hAnsi="Times New Roman" w:cs="Times New Roman"/>
        </w:rPr>
        <w:t xml:space="preserve">a </w:t>
      </w:r>
      <w:r w:rsidR="00582C84" w:rsidRPr="0012395A">
        <w:rPr>
          <w:rFonts w:ascii="Times New Roman" w:hAnsi="Times New Roman" w:cs="Times New Roman"/>
        </w:rPr>
        <w:t xml:space="preserve">direction </w:t>
      </w:r>
      <w:r w:rsidR="004115C3" w:rsidRPr="0012395A">
        <w:rPr>
          <w:rFonts w:ascii="Times New Roman" w:hAnsi="Times New Roman" w:cs="Times New Roman"/>
        </w:rPr>
        <w:t xml:space="preserve">opposite </w:t>
      </w:r>
      <w:r w:rsidR="00582C84" w:rsidRPr="0012395A">
        <w:rPr>
          <w:rFonts w:ascii="Times New Roman" w:hAnsi="Times New Roman" w:cs="Times New Roman"/>
        </w:rPr>
        <w:t>th</w:t>
      </w:r>
      <w:r w:rsidR="00F42469" w:rsidRPr="0012395A">
        <w:rPr>
          <w:rFonts w:ascii="Times New Roman" w:hAnsi="Times New Roman" w:cs="Times New Roman"/>
        </w:rPr>
        <w:t xml:space="preserve">at of </w:t>
      </w:r>
      <w:r w:rsidR="000432E9" w:rsidRPr="0012395A">
        <w:rPr>
          <w:rFonts w:ascii="Times New Roman" w:hAnsi="Times New Roman" w:cs="Times New Roman"/>
        </w:rPr>
        <w:t xml:space="preserve">recent </w:t>
      </w:r>
      <w:r w:rsidR="00582C84" w:rsidRPr="0012395A">
        <w:rPr>
          <w:rFonts w:ascii="Times New Roman" w:hAnsi="Times New Roman" w:cs="Times New Roman"/>
        </w:rPr>
        <w:t>U</w:t>
      </w:r>
      <w:r w:rsidR="000F542B" w:rsidRPr="0012395A">
        <w:rPr>
          <w:rFonts w:ascii="Times New Roman" w:hAnsi="Times New Roman" w:cs="Times New Roman"/>
        </w:rPr>
        <w:t>.</w:t>
      </w:r>
      <w:r w:rsidR="00582C84" w:rsidRPr="0012395A">
        <w:rPr>
          <w:rFonts w:ascii="Times New Roman" w:hAnsi="Times New Roman" w:cs="Times New Roman"/>
        </w:rPr>
        <w:t>S</w:t>
      </w:r>
      <w:r w:rsidR="000F542B" w:rsidRPr="0012395A">
        <w:rPr>
          <w:rFonts w:ascii="Times New Roman" w:hAnsi="Times New Roman" w:cs="Times New Roman"/>
        </w:rPr>
        <w:t>.</w:t>
      </w:r>
      <w:r w:rsidR="000432E9" w:rsidRPr="0012395A">
        <w:rPr>
          <w:rFonts w:ascii="Times New Roman" w:hAnsi="Times New Roman" w:cs="Times New Roman"/>
        </w:rPr>
        <w:t xml:space="preserve"> </w:t>
      </w:r>
      <w:r w:rsidR="004115C3" w:rsidRPr="0012395A">
        <w:rPr>
          <w:rFonts w:ascii="Times New Roman" w:hAnsi="Times New Roman" w:cs="Times New Roman"/>
        </w:rPr>
        <w:t xml:space="preserve">Supreme Court </w:t>
      </w:r>
      <w:r w:rsidR="000432E9" w:rsidRPr="0012395A">
        <w:rPr>
          <w:rFonts w:ascii="Times New Roman" w:hAnsi="Times New Roman" w:cs="Times New Roman"/>
        </w:rPr>
        <w:t>jurisprudence</w:t>
      </w:r>
      <w:r w:rsidR="00582C84" w:rsidRPr="0012395A">
        <w:rPr>
          <w:rFonts w:ascii="Times New Roman" w:hAnsi="Times New Roman" w:cs="Times New Roman"/>
        </w:rPr>
        <w:t xml:space="preserve">.  </w:t>
      </w:r>
      <w:proofErr w:type="gramStart"/>
      <w:r w:rsidR="00582C84" w:rsidRPr="0012395A">
        <w:rPr>
          <w:rFonts w:ascii="Times New Roman" w:hAnsi="Times New Roman" w:cs="Times New Roman"/>
        </w:rPr>
        <w:t xml:space="preserve">While the Supreme Court </w:t>
      </w:r>
      <w:r w:rsidR="006019B9">
        <w:rPr>
          <w:rFonts w:ascii="Times New Roman" w:hAnsi="Times New Roman" w:cs="Times New Roman"/>
        </w:rPr>
        <w:t xml:space="preserve">has been reassessing </w:t>
      </w:r>
      <w:r w:rsidR="00582C84" w:rsidRPr="0012395A">
        <w:rPr>
          <w:rFonts w:ascii="Times New Roman" w:hAnsi="Times New Roman" w:cs="Times New Roman"/>
        </w:rPr>
        <w:t xml:space="preserve">its prior assumptions </w:t>
      </w:r>
      <w:r w:rsidR="006019B9">
        <w:rPr>
          <w:rFonts w:ascii="Times New Roman" w:hAnsi="Times New Roman" w:cs="Times New Roman"/>
        </w:rPr>
        <w:t xml:space="preserve">and rulings </w:t>
      </w:r>
      <w:r w:rsidRPr="0012395A">
        <w:rPr>
          <w:rFonts w:ascii="Times New Roman" w:hAnsi="Times New Roman" w:cs="Times New Roman"/>
        </w:rPr>
        <w:t xml:space="preserve">regarding </w:t>
      </w:r>
      <w:r w:rsidR="006019B9">
        <w:rPr>
          <w:rFonts w:ascii="Times New Roman" w:hAnsi="Times New Roman" w:cs="Times New Roman"/>
        </w:rPr>
        <w:t xml:space="preserve">the </w:t>
      </w:r>
      <w:r w:rsidR="00515B33" w:rsidRPr="0012395A">
        <w:rPr>
          <w:rFonts w:ascii="Times New Roman" w:hAnsi="Times New Roman" w:cs="Times New Roman"/>
        </w:rPr>
        <w:t>harm</w:t>
      </w:r>
      <w:r w:rsidR="00582C84" w:rsidRPr="0012395A">
        <w:rPr>
          <w:rFonts w:ascii="Times New Roman" w:hAnsi="Times New Roman" w:cs="Times New Roman"/>
        </w:rPr>
        <w:t xml:space="preserve"> that </w:t>
      </w:r>
      <w:r w:rsidR="006019B9">
        <w:rPr>
          <w:rFonts w:ascii="Times New Roman" w:hAnsi="Times New Roman" w:cs="Times New Roman"/>
        </w:rPr>
        <w:t xml:space="preserve">necessarily or in all likelihood </w:t>
      </w:r>
      <w:r w:rsidR="00582C84" w:rsidRPr="0012395A">
        <w:rPr>
          <w:rFonts w:ascii="Times New Roman" w:hAnsi="Times New Roman" w:cs="Times New Roman"/>
        </w:rPr>
        <w:t>result</w:t>
      </w:r>
      <w:r w:rsidR="00515B33" w:rsidRPr="0012395A">
        <w:rPr>
          <w:rFonts w:ascii="Times New Roman" w:hAnsi="Times New Roman" w:cs="Times New Roman"/>
        </w:rPr>
        <w:t>s from</w:t>
      </w:r>
      <w:r w:rsidR="00582C84" w:rsidRPr="0012395A">
        <w:rPr>
          <w:rFonts w:ascii="Times New Roman" w:hAnsi="Times New Roman" w:cs="Times New Roman"/>
        </w:rPr>
        <w:t xml:space="preserve"> certain market behaviors</w:t>
      </w:r>
      <w:r w:rsidR="00515B33" w:rsidRPr="0012395A">
        <w:rPr>
          <w:rFonts w:ascii="Times New Roman" w:hAnsi="Times New Roman" w:cs="Times New Roman"/>
        </w:rPr>
        <w:t xml:space="preserve">, </w:t>
      </w:r>
      <w:r w:rsidR="00582C84" w:rsidRPr="0012395A">
        <w:rPr>
          <w:rFonts w:ascii="Times New Roman" w:hAnsi="Times New Roman" w:cs="Times New Roman"/>
        </w:rPr>
        <w:t xml:space="preserve">the </w:t>
      </w:r>
      <w:r w:rsidR="00213A06">
        <w:rPr>
          <w:rFonts w:ascii="Times New Roman" w:hAnsi="Times New Roman" w:cs="Times New Roman"/>
        </w:rPr>
        <w:t>CJEU</w:t>
      </w:r>
      <w:r w:rsidR="00582C84" w:rsidRPr="0012395A">
        <w:rPr>
          <w:rFonts w:ascii="Times New Roman" w:hAnsi="Times New Roman" w:cs="Times New Roman"/>
        </w:rPr>
        <w:t xml:space="preserve"> </w:t>
      </w:r>
      <w:r w:rsidR="00515B33" w:rsidRPr="0012395A">
        <w:rPr>
          <w:rFonts w:ascii="Times New Roman" w:hAnsi="Times New Roman" w:cs="Times New Roman"/>
        </w:rPr>
        <w:t xml:space="preserve">appears to </w:t>
      </w:r>
      <w:r w:rsidR="00582C84" w:rsidRPr="0012395A">
        <w:rPr>
          <w:rFonts w:ascii="Times New Roman" w:hAnsi="Times New Roman" w:cs="Times New Roman"/>
        </w:rPr>
        <w:t xml:space="preserve">be </w:t>
      </w:r>
      <w:r w:rsidR="00515B33" w:rsidRPr="0012395A">
        <w:rPr>
          <w:rFonts w:ascii="Times New Roman" w:hAnsi="Times New Roman" w:cs="Times New Roman"/>
        </w:rPr>
        <w:t xml:space="preserve">leaning toward </w:t>
      </w:r>
      <w:r w:rsidR="00582C84" w:rsidRPr="0012395A">
        <w:rPr>
          <w:rFonts w:ascii="Times New Roman" w:hAnsi="Times New Roman" w:cs="Times New Roman"/>
        </w:rPr>
        <w:t>favoring presumptions and experience in order to conserve its resources and those of other authorities within the EU</w:t>
      </w:r>
      <w:r w:rsidR="006019B9">
        <w:rPr>
          <w:rFonts w:ascii="Times New Roman" w:hAnsi="Times New Roman" w:cs="Times New Roman"/>
        </w:rPr>
        <w:t>.</w:t>
      </w:r>
      <w:proofErr w:type="gramEnd"/>
      <w:r w:rsidR="006019B9">
        <w:rPr>
          <w:rFonts w:ascii="Times New Roman" w:hAnsi="Times New Roman" w:cs="Times New Roman"/>
        </w:rPr>
        <w:t xml:space="preserve">  A</w:t>
      </w:r>
      <w:r w:rsidRPr="0012395A">
        <w:rPr>
          <w:rFonts w:ascii="Times New Roman" w:hAnsi="Times New Roman" w:cs="Times New Roman"/>
        </w:rPr>
        <w:t xml:space="preserve">s mentioned above, the Court specifically </w:t>
      </w:r>
      <w:r w:rsidR="00F42469" w:rsidRPr="0012395A">
        <w:rPr>
          <w:rFonts w:ascii="Times New Roman" w:hAnsi="Times New Roman" w:cs="Times New Roman"/>
        </w:rPr>
        <w:t xml:space="preserve">referenced this interest in </w:t>
      </w:r>
      <w:r w:rsidRPr="0012395A">
        <w:rPr>
          <w:rFonts w:ascii="Times New Roman" w:hAnsi="Times New Roman" w:cs="Times New Roman"/>
        </w:rPr>
        <w:t xml:space="preserve">the </w:t>
      </w:r>
      <w:r w:rsidR="000432E9" w:rsidRPr="0012395A">
        <w:rPr>
          <w:rFonts w:ascii="Times New Roman" w:hAnsi="Times New Roman" w:cs="Times New Roman"/>
          <w:i/>
        </w:rPr>
        <w:t>T-Mobile</w:t>
      </w:r>
      <w:r w:rsidRPr="0012395A">
        <w:rPr>
          <w:rFonts w:ascii="Times New Roman" w:hAnsi="Times New Roman" w:cs="Times New Roman"/>
        </w:rPr>
        <w:t xml:space="preserve"> decision</w:t>
      </w:r>
      <w:r w:rsidR="00582C84" w:rsidRPr="0012395A">
        <w:rPr>
          <w:rFonts w:ascii="Times New Roman" w:hAnsi="Times New Roman" w:cs="Times New Roman"/>
        </w:rPr>
        <w:t xml:space="preserve">. </w:t>
      </w:r>
      <w:r w:rsidR="00333BE3" w:rsidRPr="0012395A">
        <w:rPr>
          <w:rFonts w:ascii="Times New Roman" w:hAnsi="Times New Roman" w:cs="Times New Roman"/>
        </w:rPr>
        <w:t xml:space="preserve"> </w:t>
      </w:r>
      <w:r w:rsidR="004115C3" w:rsidRPr="0012395A">
        <w:rPr>
          <w:rFonts w:ascii="Times New Roman" w:hAnsi="Times New Roman" w:cs="Times New Roman"/>
        </w:rPr>
        <w:t>The Supreme Court has</w:t>
      </w:r>
      <w:r w:rsidR="00515712" w:rsidRPr="0012395A">
        <w:rPr>
          <w:rFonts w:ascii="Times New Roman" w:hAnsi="Times New Roman" w:cs="Times New Roman"/>
        </w:rPr>
        <w:t>,</w:t>
      </w:r>
      <w:r w:rsidR="004115C3" w:rsidRPr="0012395A">
        <w:rPr>
          <w:rFonts w:ascii="Times New Roman" w:hAnsi="Times New Roman" w:cs="Times New Roman"/>
        </w:rPr>
        <w:t xml:space="preserve"> however</w:t>
      </w:r>
      <w:r w:rsidR="00515712" w:rsidRPr="0012395A">
        <w:rPr>
          <w:rFonts w:ascii="Times New Roman" w:hAnsi="Times New Roman" w:cs="Times New Roman"/>
        </w:rPr>
        <w:t>,</w:t>
      </w:r>
      <w:r w:rsidR="004115C3" w:rsidRPr="0012395A">
        <w:rPr>
          <w:rFonts w:ascii="Times New Roman" w:hAnsi="Times New Roman" w:cs="Times New Roman"/>
        </w:rPr>
        <w:t xml:space="preserve"> </w:t>
      </w:r>
      <w:r w:rsidR="00EC0AE5">
        <w:rPr>
          <w:rFonts w:ascii="Times New Roman" w:hAnsi="Times New Roman" w:cs="Times New Roman"/>
        </w:rPr>
        <w:t xml:space="preserve">recently </w:t>
      </w:r>
      <w:r w:rsidR="00784E73" w:rsidRPr="0012395A">
        <w:rPr>
          <w:rFonts w:ascii="Times New Roman" w:hAnsi="Times New Roman" w:cs="Times New Roman"/>
        </w:rPr>
        <w:t xml:space="preserve">focused </w:t>
      </w:r>
      <w:r w:rsidR="004115C3" w:rsidRPr="0012395A">
        <w:rPr>
          <w:rFonts w:ascii="Times New Roman" w:hAnsi="Times New Roman" w:cs="Times New Roman"/>
        </w:rPr>
        <w:t>on efficiency within the marketplace</w:t>
      </w:r>
      <w:r w:rsidR="00784E73" w:rsidRPr="0012395A">
        <w:rPr>
          <w:rFonts w:ascii="Times New Roman" w:hAnsi="Times New Roman" w:cs="Times New Roman"/>
        </w:rPr>
        <w:t>—</w:t>
      </w:r>
      <w:r w:rsidR="00515712" w:rsidRPr="0012395A">
        <w:rPr>
          <w:rFonts w:ascii="Times New Roman" w:hAnsi="Times New Roman" w:cs="Times New Roman"/>
        </w:rPr>
        <w:t xml:space="preserve">which it sees as a correlate of consumer </w:t>
      </w:r>
      <w:r w:rsidR="00515712" w:rsidRPr="0012395A">
        <w:rPr>
          <w:rFonts w:ascii="Times New Roman" w:hAnsi="Times New Roman" w:cs="Times New Roman"/>
        </w:rPr>
        <w:lastRenderedPageBreak/>
        <w:t>welfare</w:t>
      </w:r>
      <w:r w:rsidR="00784E73" w:rsidRPr="0012395A">
        <w:rPr>
          <w:rFonts w:ascii="Times New Roman" w:hAnsi="Times New Roman" w:cs="Times New Roman"/>
        </w:rPr>
        <w:t>—</w:t>
      </w:r>
      <w:r w:rsidR="004115C3" w:rsidRPr="0012395A">
        <w:rPr>
          <w:rFonts w:ascii="Times New Roman" w:hAnsi="Times New Roman" w:cs="Times New Roman"/>
        </w:rPr>
        <w:t xml:space="preserve">and </w:t>
      </w:r>
      <w:r w:rsidR="00515712" w:rsidRPr="0012395A">
        <w:rPr>
          <w:rFonts w:ascii="Times New Roman" w:hAnsi="Times New Roman" w:cs="Times New Roman"/>
        </w:rPr>
        <w:t xml:space="preserve">takes </w:t>
      </w:r>
      <w:r w:rsidR="004115C3" w:rsidRPr="0012395A">
        <w:rPr>
          <w:rFonts w:ascii="Times New Roman" w:hAnsi="Times New Roman" w:cs="Times New Roman"/>
        </w:rPr>
        <w:t xml:space="preserve">an unfavorable view of </w:t>
      </w:r>
      <w:hyperlink r:id="rId11" w:history="1">
        <w:r w:rsidR="004115C3" w:rsidRPr="0012395A">
          <w:rPr>
            <w:rStyle w:val="Hyperlink"/>
            <w:rFonts w:ascii="Times New Roman" w:hAnsi="Times New Roman" w:cs="Times New Roman"/>
          </w:rPr>
          <w:t>false positives</w:t>
        </w:r>
      </w:hyperlink>
      <w:r w:rsidR="004115C3" w:rsidRPr="0012395A">
        <w:rPr>
          <w:rFonts w:ascii="Times New Roman" w:hAnsi="Times New Roman" w:cs="Times New Roman"/>
        </w:rPr>
        <w:t>, rather than</w:t>
      </w:r>
      <w:r w:rsidR="006019B9">
        <w:rPr>
          <w:rFonts w:ascii="Times New Roman" w:hAnsi="Times New Roman" w:cs="Times New Roman"/>
        </w:rPr>
        <w:t xml:space="preserve"> emphasizing</w:t>
      </w:r>
      <w:r w:rsidR="004115C3" w:rsidRPr="0012395A">
        <w:rPr>
          <w:rFonts w:ascii="Times New Roman" w:hAnsi="Times New Roman" w:cs="Times New Roman"/>
        </w:rPr>
        <w:t xml:space="preserve"> </w:t>
      </w:r>
      <w:r w:rsidR="00515712" w:rsidRPr="0012395A">
        <w:rPr>
          <w:rFonts w:ascii="Times New Roman" w:hAnsi="Times New Roman" w:cs="Times New Roman"/>
          <w:i/>
        </w:rPr>
        <w:t xml:space="preserve">judicial </w:t>
      </w:r>
      <w:r w:rsidR="004115C3" w:rsidRPr="0012395A">
        <w:rPr>
          <w:rFonts w:ascii="Times New Roman" w:hAnsi="Times New Roman" w:cs="Times New Roman"/>
        </w:rPr>
        <w:t xml:space="preserve">efficiency or </w:t>
      </w:r>
      <w:r w:rsidR="00515712" w:rsidRPr="0012395A">
        <w:rPr>
          <w:rFonts w:ascii="Times New Roman" w:hAnsi="Times New Roman" w:cs="Times New Roman"/>
        </w:rPr>
        <w:t xml:space="preserve">the </w:t>
      </w:r>
      <w:r w:rsidR="006019B9">
        <w:rPr>
          <w:rFonts w:ascii="Times New Roman" w:hAnsi="Times New Roman" w:cs="Times New Roman"/>
        </w:rPr>
        <w:t xml:space="preserve">need not to impair the possibility </w:t>
      </w:r>
      <w:r w:rsidR="00515712" w:rsidRPr="0012395A">
        <w:rPr>
          <w:rFonts w:ascii="Times New Roman" w:hAnsi="Times New Roman" w:cs="Times New Roman"/>
        </w:rPr>
        <w:t xml:space="preserve">of </w:t>
      </w:r>
      <w:r w:rsidR="004115C3" w:rsidRPr="0012395A">
        <w:rPr>
          <w:rFonts w:ascii="Times New Roman" w:hAnsi="Times New Roman" w:cs="Times New Roman"/>
        </w:rPr>
        <w:t xml:space="preserve">regulatory </w:t>
      </w:r>
      <w:r w:rsidRPr="0012395A">
        <w:rPr>
          <w:rFonts w:ascii="Times New Roman" w:hAnsi="Times New Roman" w:cs="Times New Roman"/>
        </w:rPr>
        <w:t>i</w:t>
      </w:r>
      <w:r w:rsidR="00515712" w:rsidRPr="0012395A">
        <w:rPr>
          <w:rFonts w:ascii="Times New Roman" w:hAnsi="Times New Roman" w:cs="Times New Roman"/>
        </w:rPr>
        <w:t>ntervention in the market.</w:t>
      </w:r>
    </w:p>
    <w:p w14:paraId="0217525A" w14:textId="1E3CCD5E" w:rsidR="00473780" w:rsidRPr="0012395A" w:rsidRDefault="00B15D84" w:rsidP="00864B96">
      <w:pPr>
        <w:spacing w:line="480" w:lineRule="auto"/>
        <w:ind w:firstLine="720"/>
        <w:rPr>
          <w:rFonts w:ascii="Times New Roman" w:hAnsi="Times New Roman" w:cs="Times New Roman"/>
        </w:rPr>
      </w:pPr>
      <w:r w:rsidRPr="0012395A">
        <w:rPr>
          <w:rFonts w:ascii="Times New Roman" w:hAnsi="Times New Roman" w:cs="Times New Roman"/>
        </w:rPr>
        <w:t xml:space="preserve">A comparison of the underlying goals of each of the respective systems of law may help explain the differing directions of the two </w:t>
      </w:r>
      <w:r w:rsidR="000432E9" w:rsidRPr="0012395A">
        <w:rPr>
          <w:rFonts w:ascii="Times New Roman" w:hAnsi="Times New Roman" w:cs="Times New Roman"/>
        </w:rPr>
        <w:t>juris</w:t>
      </w:r>
      <w:r w:rsidRPr="0012395A">
        <w:rPr>
          <w:rFonts w:ascii="Times New Roman" w:hAnsi="Times New Roman" w:cs="Times New Roman"/>
        </w:rPr>
        <w:t>prudential trends</w:t>
      </w:r>
      <w:r w:rsidR="000432E9" w:rsidRPr="0012395A">
        <w:rPr>
          <w:rFonts w:ascii="Times New Roman" w:hAnsi="Times New Roman" w:cs="Times New Roman"/>
        </w:rPr>
        <w:t>.</w:t>
      </w:r>
      <w:r w:rsidR="00020595" w:rsidRPr="0012395A">
        <w:rPr>
          <w:rFonts w:ascii="Times New Roman" w:hAnsi="Times New Roman" w:cs="Times New Roman"/>
        </w:rPr>
        <w:t xml:space="preserve"> </w:t>
      </w:r>
      <w:r w:rsidRPr="0012395A">
        <w:rPr>
          <w:rFonts w:ascii="Times New Roman" w:hAnsi="Times New Roman" w:cs="Times New Roman"/>
        </w:rPr>
        <w:t xml:space="preserve"> The</w:t>
      </w:r>
      <w:r w:rsidR="000432E9" w:rsidRPr="0012395A">
        <w:rPr>
          <w:rFonts w:ascii="Times New Roman" w:hAnsi="Times New Roman" w:cs="Times New Roman"/>
        </w:rPr>
        <w:t xml:space="preserve"> Supreme Court</w:t>
      </w:r>
      <w:r w:rsidRPr="0012395A">
        <w:rPr>
          <w:rFonts w:ascii="Times New Roman" w:hAnsi="Times New Roman" w:cs="Times New Roman"/>
        </w:rPr>
        <w:t>’s</w:t>
      </w:r>
      <w:r w:rsidR="000432E9" w:rsidRPr="0012395A">
        <w:rPr>
          <w:rFonts w:ascii="Times New Roman" w:hAnsi="Times New Roman" w:cs="Times New Roman"/>
        </w:rPr>
        <w:t xml:space="preserve"> primary goal </w:t>
      </w:r>
      <w:r w:rsidRPr="0012395A">
        <w:rPr>
          <w:rFonts w:ascii="Times New Roman" w:hAnsi="Times New Roman" w:cs="Times New Roman"/>
        </w:rPr>
        <w:t>is to uphold</w:t>
      </w:r>
      <w:r w:rsidR="000432E9" w:rsidRPr="0012395A">
        <w:rPr>
          <w:rFonts w:ascii="Times New Roman" w:hAnsi="Times New Roman" w:cs="Times New Roman"/>
        </w:rPr>
        <w:t xml:space="preserve"> the U</w:t>
      </w:r>
      <w:r w:rsidR="007061B3" w:rsidRPr="0012395A">
        <w:rPr>
          <w:rFonts w:ascii="Times New Roman" w:hAnsi="Times New Roman" w:cs="Times New Roman"/>
        </w:rPr>
        <w:t>.</w:t>
      </w:r>
      <w:r w:rsidR="000432E9" w:rsidRPr="0012395A">
        <w:rPr>
          <w:rFonts w:ascii="Times New Roman" w:hAnsi="Times New Roman" w:cs="Times New Roman"/>
        </w:rPr>
        <w:t>S</w:t>
      </w:r>
      <w:r w:rsidR="007061B3" w:rsidRPr="0012395A">
        <w:rPr>
          <w:rFonts w:ascii="Times New Roman" w:hAnsi="Times New Roman" w:cs="Times New Roman"/>
        </w:rPr>
        <w:t>.</w:t>
      </w:r>
      <w:r w:rsidR="000432E9" w:rsidRPr="0012395A">
        <w:rPr>
          <w:rFonts w:ascii="Times New Roman" w:hAnsi="Times New Roman" w:cs="Times New Roman"/>
        </w:rPr>
        <w:t xml:space="preserve"> Constitution as </w:t>
      </w:r>
      <w:r w:rsidR="007061B3" w:rsidRPr="0012395A">
        <w:rPr>
          <w:rFonts w:ascii="Times New Roman" w:hAnsi="Times New Roman" w:cs="Times New Roman"/>
        </w:rPr>
        <w:t xml:space="preserve">the </w:t>
      </w:r>
      <w:r w:rsidR="000432E9" w:rsidRPr="0012395A">
        <w:rPr>
          <w:rFonts w:ascii="Times New Roman" w:hAnsi="Times New Roman" w:cs="Times New Roman"/>
        </w:rPr>
        <w:t xml:space="preserve">foundation for any law upon which the court rules.  Thus, </w:t>
      </w:r>
      <w:r w:rsidR="007061B3" w:rsidRPr="0012395A">
        <w:rPr>
          <w:rFonts w:ascii="Times New Roman" w:hAnsi="Times New Roman" w:cs="Times New Roman"/>
        </w:rPr>
        <w:t>a</w:t>
      </w:r>
      <w:r w:rsidR="000432E9" w:rsidRPr="0012395A">
        <w:rPr>
          <w:rFonts w:ascii="Times New Roman" w:hAnsi="Times New Roman" w:cs="Times New Roman"/>
        </w:rPr>
        <w:t xml:space="preserve"> </w:t>
      </w:r>
      <w:r w:rsidR="002E0ED5" w:rsidRPr="0012395A">
        <w:rPr>
          <w:rFonts w:ascii="Times New Roman" w:hAnsi="Times New Roman" w:cs="Times New Roman"/>
        </w:rPr>
        <w:t xml:space="preserve">U.S. </w:t>
      </w:r>
      <w:r w:rsidR="007061B3" w:rsidRPr="0012395A">
        <w:rPr>
          <w:rFonts w:ascii="Times New Roman" w:hAnsi="Times New Roman" w:cs="Times New Roman"/>
        </w:rPr>
        <w:t xml:space="preserve">antitrust decision </w:t>
      </w:r>
      <w:r w:rsidR="000432E9" w:rsidRPr="0012395A">
        <w:rPr>
          <w:rFonts w:ascii="Times New Roman" w:hAnsi="Times New Roman" w:cs="Times New Roman"/>
        </w:rPr>
        <w:t xml:space="preserve">is not governed by </w:t>
      </w:r>
      <w:r w:rsidR="007061B3" w:rsidRPr="0012395A">
        <w:rPr>
          <w:rFonts w:ascii="Times New Roman" w:hAnsi="Times New Roman" w:cs="Times New Roman"/>
        </w:rPr>
        <w:t xml:space="preserve">the Sherman Act </w:t>
      </w:r>
      <w:r w:rsidR="000432E9" w:rsidRPr="0012395A">
        <w:rPr>
          <w:rFonts w:ascii="Times New Roman" w:hAnsi="Times New Roman" w:cs="Times New Roman"/>
        </w:rPr>
        <w:t xml:space="preserve">alone, but also by the </w:t>
      </w:r>
      <w:r w:rsidR="002E0ED5" w:rsidRPr="0012395A">
        <w:rPr>
          <w:rFonts w:ascii="Times New Roman" w:hAnsi="Times New Roman" w:cs="Times New Roman"/>
        </w:rPr>
        <w:t>Court’s predilection to link its decisions to broader</w:t>
      </w:r>
      <w:r w:rsidRPr="0012395A">
        <w:rPr>
          <w:rFonts w:ascii="Times New Roman" w:hAnsi="Times New Roman" w:cs="Times New Roman"/>
        </w:rPr>
        <w:t xml:space="preserve"> policy objectives, such as its </w:t>
      </w:r>
      <w:proofErr w:type="gramStart"/>
      <w:r w:rsidR="002E0ED5" w:rsidRPr="0012395A">
        <w:rPr>
          <w:rFonts w:ascii="Times New Roman" w:hAnsi="Times New Roman" w:cs="Times New Roman"/>
        </w:rPr>
        <w:t>Constitutionally</w:t>
      </w:r>
      <w:proofErr w:type="gramEnd"/>
      <w:r w:rsidR="002E0ED5" w:rsidRPr="0012395A">
        <w:rPr>
          <w:rFonts w:ascii="Times New Roman" w:hAnsi="Times New Roman" w:cs="Times New Roman"/>
        </w:rPr>
        <w:t xml:space="preserve"> mandated responsibility to interpret laws passed by Congress and intervene when </w:t>
      </w:r>
      <w:r w:rsidR="002F7943" w:rsidRPr="0012395A">
        <w:rPr>
          <w:rFonts w:ascii="Times New Roman" w:hAnsi="Times New Roman" w:cs="Times New Roman"/>
        </w:rPr>
        <w:t xml:space="preserve">those laws overstep the </w:t>
      </w:r>
      <w:r w:rsidR="002E0ED5" w:rsidRPr="0012395A">
        <w:rPr>
          <w:rFonts w:ascii="Times New Roman" w:hAnsi="Times New Roman" w:cs="Times New Roman"/>
        </w:rPr>
        <w:t xml:space="preserve">boundaries of </w:t>
      </w:r>
      <w:r w:rsidR="002F7943" w:rsidRPr="0012395A">
        <w:rPr>
          <w:rFonts w:ascii="Times New Roman" w:hAnsi="Times New Roman" w:cs="Times New Roman"/>
        </w:rPr>
        <w:t xml:space="preserve">Congress’s </w:t>
      </w:r>
      <w:r w:rsidR="002E0ED5" w:rsidRPr="0012395A">
        <w:rPr>
          <w:rFonts w:ascii="Times New Roman" w:hAnsi="Times New Roman" w:cs="Times New Roman"/>
        </w:rPr>
        <w:t>authority under the Constitution.</w:t>
      </w:r>
      <w:r w:rsidR="002E0ED5" w:rsidRPr="0012395A">
        <w:rPr>
          <w:rStyle w:val="EndnoteReference"/>
          <w:rFonts w:ascii="Times New Roman" w:hAnsi="Times New Roman" w:cs="Times New Roman"/>
        </w:rPr>
        <w:endnoteReference w:id="14"/>
      </w:r>
      <w:r w:rsidR="002E0ED5" w:rsidRPr="0012395A">
        <w:rPr>
          <w:rFonts w:ascii="Times New Roman" w:hAnsi="Times New Roman" w:cs="Times New Roman"/>
        </w:rPr>
        <w:t xml:space="preserve">  </w:t>
      </w:r>
      <w:r w:rsidR="00020595" w:rsidRPr="0012395A">
        <w:rPr>
          <w:rFonts w:ascii="Times New Roman" w:hAnsi="Times New Roman" w:cs="Times New Roman"/>
        </w:rPr>
        <w:t>T</w:t>
      </w:r>
      <w:r w:rsidR="00691782">
        <w:rPr>
          <w:rFonts w:ascii="Times New Roman" w:hAnsi="Times New Roman" w:cs="Times New Roman"/>
        </w:rPr>
        <w:t>he EU</w:t>
      </w:r>
      <w:r w:rsidR="0063510A">
        <w:rPr>
          <w:rFonts w:ascii="Times New Roman" w:hAnsi="Times New Roman" w:cs="Times New Roman"/>
        </w:rPr>
        <w:t xml:space="preserve"> (originally the “European Community”)</w:t>
      </w:r>
      <w:r w:rsidR="00020595" w:rsidRPr="0012395A">
        <w:rPr>
          <w:rFonts w:ascii="Times New Roman" w:hAnsi="Times New Roman" w:cs="Times New Roman"/>
        </w:rPr>
        <w:t>, on the other hand,</w:t>
      </w:r>
      <w:r w:rsidR="007061B3" w:rsidRPr="0012395A">
        <w:rPr>
          <w:rFonts w:ascii="Times New Roman" w:hAnsi="Times New Roman" w:cs="Times New Roman"/>
        </w:rPr>
        <w:t xml:space="preserve"> was first formed </w:t>
      </w:r>
      <w:r w:rsidR="0063510A">
        <w:rPr>
          <w:rFonts w:ascii="Times New Roman" w:hAnsi="Times New Roman" w:cs="Times New Roman"/>
        </w:rPr>
        <w:t xml:space="preserve">with the primary goal </w:t>
      </w:r>
      <w:r w:rsidR="007061B3" w:rsidRPr="0012395A">
        <w:rPr>
          <w:rFonts w:ascii="Times New Roman" w:hAnsi="Times New Roman" w:cs="Times New Roman"/>
        </w:rPr>
        <w:t xml:space="preserve">of </w:t>
      </w:r>
      <w:r w:rsidR="0063510A">
        <w:rPr>
          <w:rFonts w:ascii="Times New Roman" w:hAnsi="Times New Roman" w:cs="Times New Roman"/>
        </w:rPr>
        <w:t>economic</w:t>
      </w:r>
      <w:r w:rsidR="005A291A" w:rsidRPr="0012395A">
        <w:rPr>
          <w:rFonts w:ascii="Times New Roman" w:hAnsi="Times New Roman" w:cs="Times New Roman"/>
        </w:rPr>
        <w:t xml:space="preserve"> </w:t>
      </w:r>
      <w:r w:rsidR="007061B3" w:rsidRPr="0012395A">
        <w:rPr>
          <w:rFonts w:ascii="Times New Roman" w:hAnsi="Times New Roman" w:cs="Times New Roman"/>
        </w:rPr>
        <w:t>market integration</w:t>
      </w:r>
      <w:r w:rsidR="0063510A">
        <w:rPr>
          <w:rFonts w:ascii="Times New Roman" w:hAnsi="Times New Roman" w:cs="Times New Roman"/>
        </w:rPr>
        <w:t xml:space="preserve"> among its members</w:t>
      </w:r>
      <w:r w:rsidR="007061B3" w:rsidRPr="0012395A">
        <w:rPr>
          <w:rFonts w:ascii="Times New Roman" w:hAnsi="Times New Roman" w:cs="Times New Roman"/>
        </w:rPr>
        <w:t xml:space="preserve">.  Thus, the </w:t>
      </w:r>
      <w:r w:rsidR="00213A06">
        <w:rPr>
          <w:rFonts w:ascii="Times New Roman" w:hAnsi="Times New Roman" w:cs="Times New Roman"/>
        </w:rPr>
        <w:t>CJEU</w:t>
      </w:r>
      <w:r w:rsidR="007061B3" w:rsidRPr="0012395A">
        <w:rPr>
          <w:rFonts w:ascii="Times New Roman" w:hAnsi="Times New Roman" w:cs="Times New Roman"/>
        </w:rPr>
        <w:t xml:space="preserve"> is tied very tightly to the political</w:t>
      </w:r>
      <w:r w:rsidR="0063510A">
        <w:rPr>
          <w:rFonts w:ascii="Times New Roman" w:hAnsi="Times New Roman" w:cs="Times New Roman"/>
        </w:rPr>
        <w:t xml:space="preserve"> and economic</w:t>
      </w:r>
      <w:r w:rsidR="007061B3" w:rsidRPr="0012395A">
        <w:rPr>
          <w:rFonts w:ascii="Times New Roman" w:hAnsi="Times New Roman" w:cs="Times New Roman"/>
        </w:rPr>
        <w:t xml:space="preserve"> objectives of the Treaty itself, and</w:t>
      </w:r>
      <w:r w:rsidR="00C30682" w:rsidRPr="0012395A">
        <w:rPr>
          <w:rFonts w:ascii="Times New Roman" w:hAnsi="Times New Roman" w:cs="Times New Roman"/>
        </w:rPr>
        <w:t xml:space="preserve"> as the highest court of the</w:t>
      </w:r>
      <w:r w:rsidR="007B6393" w:rsidRPr="0012395A">
        <w:rPr>
          <w:rFonts w:ascii="Times New Roman" w:hAnsi="Times New Roman" w:cs="Times New Roman"/>
        </w:rPr>
        <w:t xml:space="preserve"> </w:t>
      </w:r>
      <w:r w:rsidR="00213A06">
        <w:rPr>
          <w:rFonts w:ascii="Times New Roman" w:hAnsi="Times New Roman" w:cs="Times New Roman"/>
        </w:rPr>
        <w:t>EU</w:t>
      </w:r>
      <w:r w:rsidR="00C30682" w:rsidRPr="0012395A">
        <w:rPr>
          <w:rFonts w:ascii="Times New Roman" w:hAnsi="Times New Roman" w:cs="Times New Roman"/>
        </w:rPr>
        <w:t>, it</w:t>
      </w:r>
      <w:r w:rsidR="007061B3" w:rsidRPr="0012395A">
        <w:rPr>
          <w:rFonts w:ascii="Times New Roman" w:hAnsi="Times New Roman" w:cs="Times New Roman"/>
        </w:rPr>
        <w:t xml:space="preserve"> </w:t>
      </w:r>
      <w:r w:rsidR="00C30682" w:rsidRPr="0012395A">
        <w:rPr>
          <w:rFonts w:ascii="Times New Roman" w:hAnsi="Times New Roman" w:cs="Times New Roman"/>
        </w:rPr>
        <w:t xml:space="preserve">carries </w:t>
      </w:r>
      <w:r w:rsidR="00160B35" w:rsidRPr="0012395A">
        <w:rPr>
          <w:rFonts w:ascii="Times New Roman" w:hAnsi="Times New Roman" w:cs="Times New Roman"/>
        </w:rPr>
        <w:t xml:space="preserve">the role of </w:t>
      </w:r>
      <w:r w:rsidR="00C30682" w:rsidRPr="0012395A">
        <w:rPr>
          <w:rFonts w:ascii="Times New Roman" w:hAnsi="Times New Roman" w:cs="Times New Roman"/>
        </w:rPr>
        <w:t xml:space="preserve">lead </w:t>
      </w:r>
      <w:r w:rsidR="0063510A">
        <w:rPr>
          <w:rFonts w:ascii="Times New Roman" w:hAnsi="Times New Roman" w:cs="Times New Roman"/>
        </w:rPr>
        <w:t>interpreter</w:t>
      </w:r>
      <w:r w:rsidR="00160B35" w:rsidRPr="0012395A">
        <w:rPr>
          <w:rFonts w:ascii="Times New Roman" w:hAnsi="Times New Roman" w:cs="Times New Roman"/>
        </w:rPr>
        <w:t xml:space="preserve"> of the </w:t>
      </w:r>
      <w:r w:rsidR="00515712" w:rsidRPr="0012395A">
        <w:rPr>
          <w:rFonts w:ascii="Times New Roman" w:hAnsi="Times New Roman" w:cs="Times New Roman"/>
        </w:rPr>
        <w:t xml:space="preserve">Treaty’s </w:t>
      </w:r>
      <w:r w:rsidR="00160B35" w:rsidRPr="0012395A">
        <w:rPr>
          <w:rFonts w:ascii="Times New Roman" w:hAnsi="Times New Roman" w:cs="Times New Roman"/>
        </w:rPr>
        <w:t>provisions</w:t>
      </w:r>
      <w:r w:rsidR="00501A1B" w:rsidRPr="0012395A">
        <w:rPr>
          <w:rFonts w:ascii="Times New Roman" w:hAnsi="Times New Roman" w:cs="Times New Roman"/>
        </w:rPr>
        <w:t xml:space="preserve">, </w:t>
      </w:r>
      <w:r w:rsidR="00160B35" w:rsidRPr="0012395A">
        <w:rPr>
          <w:rFonts w:ascii="Times New Roman" w:hAnsi="Times New Roman" w:cs="Times New Roman"/>
        </w:rPr>
        <w:t xml:space="preserve">including </w:t>
      </w:r>
      <w:r w:rsidR="000E219E" w:rsidRPr="0012395A">
        <w:rPr>
          <w:rFonts w:ascii="Times New Roman" w:hAnsi="Times New Roman" w:cs="Times New Roman"/>
        </w:rPr>
        <w:t>Art.</w:t>
      </w:r>
      <w:r w:rsidR="00160B35" w:rsidRPr="0012395A">
        <w:rPr>
          <w:rFonts w:ascii="Times New Roman" w:hAnsi="Times New Roman" w:cs="Times New Roman"/>
        </w:rPr>
        <w:t xml:space="preserve"> 101</w:t>
      </w:r>
      <w:r w:rsidR="00501A1B" w:rsidRPr="0012395A">
        <w:rPr>
          <w:rFonts w:ascii="Times New Roman" w:hAnsi="Times New Roman" w:cs="Times New Roman"/>
        </w:rPr>
        <w:t xml:space="preserve"> (</w:t>
      </w:r>
      <w:r w:rsidR="00C30682" w:rsidRPr="0012395A">
        <w:rPr>
          <w:rFonts w:ascii="Times New Roman" w:hAnsi="Times New Roman" w:cs="Times New Roman"/>
        </w:rPr>
        <w:t xml:space="preserve">the </w:t>
      </w:r>
      <w:hyperlink r:id="rId12" w:history="1">
        <w:r w:rsidR="00C30682" w:rsidRPr="0012395A">
          <w:rPr>
            <w:rStyle w:val="Hyperlink"/>
            <w:rFonts w:ascii="Times New Roman" w:hAnsi="Times New Roman" w:cs="Times New Roman"/>
          </w:rPr>
          <w:t>European Commission</w:t>
        </w:r>
      </w:hyperlink>
      <w:r w:rsidR="008F15B8">
        <w:rPr>
          <w:rFonts w:ascii="Times New Roman" w:hAnsi="Times New Roman" w:cs="Times New Roman"/>
        </w:rPr>
        <w:t xml:space="preserve"> </w:t>
      </w:r>
      <w:r w:rsidR="00C30682" w:rsidRPr="0012395A">
        <w:rPr>
          <w:rFonts w:ascii="Times New Roman" w:hAnsi="Times New Roman" w:cs="Times New Roman"/>
        </w:rPr>
        <w:t>acts as “</w:t>
      </w:r>
      <w:hyperlink r:id="rId13" w:history="1">
        <w:r w:rsidR="00C30682" w:rsidRPr="0012395A">
          <w:rPr>
            <w:rStyle w:val="Hyperlink"/>
            <w:rFonts w:ascii="Times New Roman" w:hAnsi="Times New Roman" w:cs="Times New Roman"/>
          </w:rPr>
          <w:t>guardian of the treaties</w:t>
        </w:r>
      </w:hyperlink>
      <w:r w:rsidR="00C30682" w:rsidRPr="0012395A">
        <w:rPr>
          <w:rFonts w:ascii="Times New Roman" w:hAnsi="Times New Roman" w:cs="Times New Roman"/>
        </w:rPr>
        <w:t>”</w:t>
      </w:r>
      <w:r w:rsidR="008F15B8">
        <w:rPr>
          <w:rFonts w:ascii="Times New Roman" w:hAnsi="Times New Roman" w:cs="Times New Roman"/>
        </w:rPr>
        <w:t xml:space="preserve"> subject to the CJEU’s authority to interpret them</w:t>
      </w:r>
      <w:r w:rsidR="00C30682" w:rsidRPr="0012395A">
        <w:rPr>
          <w:rFonts w:ascii="Times New Roman" w:hAnsi="Times New Roman" w:cs="Times New Roman"/>
        </w:rPr>
        <w:t>)</w:t>
      </w:r>
      <w:r w:rsidR="00160B35" w:rsidRPr="0012395A">
        <w:rPr>
          <w:rFonts w:ascii="Times New Roman" w:hAnsi="Times New Roman" w:cs="Times New Roman"/>
        </w:rPr>
        <w:t>.  While the U</w:t>
      </w:r>
      <w:r w:rsidR="000F542B" w:rsidRPr="0012395A">
        <w:rPr>
          <w:rFonts w:ascii="Times New Roman" w:hAnsi="Times New Roman" w:cs="Times New Roman"/>
        </w:rPr>
        <w:t>.</w:t>
      </w:r>
      <w:r w:rsidR="00160B35" w:rsidRPr="0012395A">
        <w:rPr>
          <w:rFonts w:ascii="Times New Roman" w:hAnsi="Times New Roman" w:cs="Times New Roman"/>
        </w:rPr>
        <w:t>S</w:t>
      </w:r>
      <w:r w:rsidR="000F542B" w:rsidRPr="0012395A">
        <w:rPr>
          <w:rFonts w:ascii="Times New Roman" w:hAnsi="Times New Roman" w:cs="Times New Roman"/>
        </w:rPr>
        <w:t>.</w:t>
      </w:r>
      <w:r w:rsidR="00160B35" w:rsidRPr="0012395A">
        <w:rPr>
          <w:rFonts w:ascii="Times New Roman" w:hAnsi="Times New Roman" w:cs="Times New Roman"/>
        </w:rPr>
        <w:t xml:space="preserve"> Supreme Court has never viewed </w:t>
      </w:r>
      <w:r w:rsidR="00734A59" w:rsidRPr="0012395A">
        <w:rPr>
          <w:rFonts w:ascii="Times New Roman" w:hAnsi="Times New Roman" w:cs="Times New Roman"/>
        </w:rPr>
        <w:t>strict enforcement of the Sherm</w:t>
      </w:r>
      <w:r w:rsidR="00160B35" w:rsidRPr="0012395A">
        <w:rPr>
          <w:rFonts w:ascii="Times New Roman" w:hAnsi="Times New Roman" w:cs="Times New Roman"/>
        </w:rPr>
        <w:t xml:space="preserve">an Act as </w:t>
      </w:r>
      <w:r w:rsidR="000E219E" w:rsidRPr="0012395A">
        <w:rPr>
          <w:rFonts w:ascii="Times New Roman" w:hAnsi="Times New Roman" w:cs="Times New Roman"/>
        </w:rPr>
        <w:t xml:space="preserve">an </w:t>
      </w:r>
      <w:r w:rsidR="00160B35" w:rsidRPr="0012395A">
        <w:rPr>
          <w:rFonts w:ascii="Times New Roman" w:hAnsi="Times New Roman" w:cs="Times New Roman"/>
        </w:rPr>
        <w:t xml:space="preserve">essential </w:t>
      </w:r>
      <w:r w:rsidR="000E219E" w:rsidRPr="0012395A">
        <w:rPr>
          <w:rFonts w:ascii="Times New Roman" w:hAnsi="Times New Roman" w:cs="Times New Roman"/>
        </w:rPr>
        <w:t xml:space="preserve">element </w:t>
      </w:r>
      <w:r w:rsidRPr="0012395A">
        <w:rPr>
          <w:rFonts w:ascii="Times New Roman" w:hAnsi="Times New Roman" w:cs="Times New Roman"/>
        </w:rPr>
        <w:t xml:space="preserve">in </w:t>
      </w:r>
      <w:r w:rsidR="00515712" w:rsidRPr="0012395A">
        <w:rPr>
          <w:rFonts w:ascii="Times New Roman" w:hAnsi="Times New Roman" w:cs="Times New Roman"/>
        </w:rPr>
        <w:t xml:space="preserve">realizing </w:t>
      </w:r>
      <w:r w:rsidR="00734A59" w:rsidRPr="0012395A">
        <w:rPr>
          <w:rFonts w:ascii="Times New Roman" w:hAnsi="Times New Roman" w:cs="Times New Roman"/>
        </w:rPr>
        <w:t xml:space="preserve">the </w:t>
      </w:r>
      <w:r w:rsidR="000E219E" w:rsidRPr="0012395A">
        <w:rPr>
          <w:rFonts w:ascii="Times New Roman" w:hAnsi="Times New Roman" w:cs="Times New Roman"/>
        </w:rPr>
        <w:t xml:space="preserve">fundamental </w:t>
      </w:r>
      <w:r w:rsidR="00734A59" w:rsidRPr="0012395A">
        <w:rPr>
          <w:rFonts w:ascii="Times New Roman" w:hAnsi="Times New Roman" w:cs="Times New Roman"/>
        </w:rPr>
        <w:t>vision</w:t>
      </w:r>
      <w:r w:rsidR="000E219E" w:rsidRPr="0012395A">
        <w:rPr>
          <w:rFonts w:ascii="Times New Roman" w:hAnsi="Times New Roman" w:cs="Times New Roman"/>
        </w:rPr>
        <w:t>s</w:t>
      </w:r>
      <w:r w:rsidR="00734A59" w:rsidRPr="0012395A">
        <w:rPr>
          <w:rFonts w:ascii="Times New Roman" w:hAnsi="Times New Roman" w:cs="Times New Roman"/>
        </w:rPr>
        <w:t xml:space="preserve"> of</w:t>
      </w:r>
      <w:r w:rsidR="00160B35" w:rsidRPr="0012395A">
        <w:rPr>
          <w:rFonts w:ascii="Times New Roman" w:hAnsi="Times New Roman" w:cs="Times New Roman"/>
        </w:rPr>
        <w:t xml:space="preserve"> the founding fathers, t</w:t>
      </w:r>
      <w:r w:rsidR="00515B33" w:rsidRPr="0012395A">
        <w:rPr>
          <w:rFonts w:ascii="Times New Roman" w:hAnsi="Times New Roman" w:cs="Times New Roman"/>
        </w:rPr>
        <w:t xml:space="preserve">he </w:t>
      </w:r>
      <w:r w:rsidR="00213A06">
        <w:rPr>
          <w:rFonts w:ascii="Times New Roman" w:hAnsi="Times New Roman" w:cs="Times New Roman"/>
        </w:rPr>
        <w:t>CJEU</w:t>
      </w:r>
      <w:r w:rsidR="00515B33" w:rsidRPr="0012395A">
        <w:rPr>
          <w:rFonts w:ascii="Times New Roman" w:hAnsi="Times New Roman" w:cs="Times New Roman"/>
        </w:rPr>
        <w:t xml:space="preserve"> </w:t>
      </w:r>
      <w:r w:rsidR="0063510A">
        <w:rPr>
          <w:rFonts w:ascii="Times New Roman" w:hAnsi="Times New Roman" w:cs="Times New Roman"/>
        </w:rPr>
        <w:t xml:space="preserve">has developed </w:t>
      </w:r>
      <w:r w:rsidR="00691782">
        <w:rPr>
          <w:rFonts w:ascii="Times New Roman" w:hAnsi="Times New Roman" w:cs="Times New Roman"/>
        </w:rPr>
        <w:t>an</w:t>
      </w:r>
      <w:r w:rsidR="0063510A">
        <w:rPr>
          <w:rFonts w:ascii="Times New Roman" w:hAnsi="Times New Roman" w:cs="Times New Roman"/>
        </w:rPr>
        <w:t xml:space="preserve"> institutional mindset</w:t>
      </w:r>
      <w:r w:rsidR="00160B35" w:rsidRPr="0012395A">
        <w:rPr>
          <w:rFonts w:ascii="Times New Roman" w:hAnsi="Times New Roman" w:cs="Times New Roman"/>
        </w:rPr>
        <w:t xml:space="preserve"> </w:t>
      </w:r>
      <w:r w:rsidR="0063510A">
        <w:rPr>
          <w:rFonts w:ascii="Times New Roman" w:hAnsi="Times New Roman" w:cs="Times New Roman"/>
        </w:rPr>
        <w:t xml:space="preserve">focused </w:t>
      </w:r>
      <w:r w:rsidR="00691782">
        <w:rPr>
          <w:rFonts w:ascii="Times New Roman" w:hAnsi="Times New Roman" w:cs="Times New Roman"/>
        </w:rPr>
        <w:t xml:space="preserve">on </w:t>
      </w:r>
      <w:r w:rsidR="00734A59" w:rsidRPr="0012395A">
        <w:rPr>
          <w:rFonts w:ascii="Times New Roman" w:hAnsi="Times New Roman" w:cs="Times New Roman"/>
        </w:rPr>
        <w:t>strict</w:t>
      </w:r>
      <w:r w:rsidR="00691782">
        <w:rPr>
          <w:rFonts w:ascii="Times New Roman" w:hAnsi="Times New Roman" w:cs="Times New Roman"/>
        </w:rPr>
        <w:t xml:space="preserve"> enforcement</w:t>
      </w:r>
      <w:r w:rsidR="00734A59" w:rsidRPr="0012395A">
        <w:rPr>
          <w:rFonts w:ascii="Times New Roman" w:hAnsi="Times New Roman" w:cs="Times New Roman"/>
        </w:rPr>
        <w:t xml:space="preserve"> of </w:t>
      </w:r>
      <w:r w:rsidR="00EE08AA" w:rsidRPr="0012395A">
        <w:rPr>
          <w:rFonts w:ascii="Times New Roman" w:hAnsi="Times New Roman" w:cs="Times New Roman"/>
        </w:rPr>
        <w:t xml:space="preserve">Art. </w:t>
      </w:r>
      <w:proofErr w:type="gramStart"/>
      <w:r w:rsidR="00734A59" w:rsidRPr="0012395A">
        <w:rPr>
          <w:rFonts w:ascii="Times New Roman" w:hAnsi="Times New Roman" w:cs="Times New Roman"/>
        </w:rPr>
        <w:t>101</w:t>
      </w:r>
      <w:r w:rsidRPr="0012395A">
        <w:rPr>
          <w:rFonts w:ascii="Times New Roman" w:hAnsi="Times New Roman" w:cs="Times New Roman"/>
        </w:rPr>
        <w:t>,</w:t>
      </w:r>
      <w:r w:rsidR="00EE08AA" w:rsidRPr="0012395A">
        <w:rPr>
          <w:rFonts w:ascii="Times New Roman" w:hAnsi="Times New Roman" w:cs="Times New Roman"/>
        </w:rPr>
        <w:t xml:space="preserve"> </w:t>
      </w:r>
      <w:r w:rsidR="00734A59" w:rsidRPr="0012395A">
        <w:rPr>
          <w:rFonts w:ascii="Times New Roman" w:hAnsi="Times New Roman" w:cs="Times New Roman"/>
        </w:rPr>
        <w:t>in o</w:t>
      </w:r>
      <w:r w:rsidR="000524D1" w:rsidRPr="0012395A">
        <w:rPr>
          <w:rFonts w:ascii="Times New Roman" w:hAnsi="Times New Roman" w:cs="Times New Roman"/>
        </w:rPr>
        <w:t xml:space="preserve">rder to ensure the </w:t>
      </w:r>
      <w:r w:rsidR="00EE08AA" w:rsidRPr="0012395A">
        <w:rPr>
          <w:rFonts w:ascii="Times New Roman" w:hAnsi="Times New Roman" w:cs="Times New Roman"/>
        </w:rPr>
        <w:t xml:space="preserve">achievement of the </w:t>
      </w:r>
      <w:r w:rsidR="000E219E" w:rsidRPr="0012395A">
        <w:rPr>
          <w:rFonts w:ascii="Times New Roman" w:hAnsi="Times New Roman" w:cs="Times New Roman"/>
        </w:rPr>
        <w:t xml:space="preserve">fundamental goals </w:t>
      </w:r>
      <w:r w:rsidR="000524D1" w:rsidRPr="0012395A">
        <w:rPr>
          <w:rFonts w:ascii="Times New Roman" w:hAnsi="Times New Roman" w:cs="Times New Roman"/>
        </w:rPr>
        <w:t xml:space="preserve">of </w:t>
      </w:r>
      <w:hyperlink r:id="rId14" w:history="1">
        <w:r w:rsidR="000524D1" w:rsidRPr="0012395A">
          <w:rPr>
            <w:rStyle w:val="Hyperlink"/>
            <w:rFonts w:ascii="Times New Roman" w:hAnsi="Times New Roman" w:cs="Times New Roman"/>
          </w:rPr>
          <w:t>Jean Monnet</w:t>
        </w:r>
      </w:hyperlink>
      <w:r w:rsidRPr="0012395A">
        <w:rPr>
          <w:rFonts w:ascii="Times New Roman" w:hAnsi="Times New Roman" w:cs="Times New Roman"/>
        </w:rPr>
        <w:t>—the f</w:t>
      </w:r>
      <w:r w:rsidR="000E54BE">
        <w:rPr>
          <w:rFonts w:ascii="Times New Roman" w:hAnsi="Times New Roman" w:cs="Times New Roman"/>
        </w:rPr>
        <w:t>ather of the European Community.</w:t>
      </w:r>
      <w:proofErr w:type="gramEnd"/>
    </w:p>
    <w:sectPr w:rsidR="00473780" w:rsidRPr="0012395A" w:rsidSect="0012395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558E4" w14:textId="77777777" w:rsidR="00A844C0" w:rsidRDefault="00A844C0" w:rsidP="00306D22">
      <w:r>
        <w:separator/>
      </w:r>
    </w:p>
  </w:endnote>
  <w:endnote w:type="continuationSeparator" w:id="0">
    <w:p w14:paraId="5C3DEC26" w14:textId="77777777" w:rsidR="00A844C0" w:rsidRDefault="00A844C0" w:rsidP="00306D22">
      <w:r>
        <w:continuationSeparator/>
      </w:r>
    </w:p>
  </w:endnote>
  <w:endnote w:id="1">
    <w:p w14:paraId="47AACA44" w14:textId="77777777" w:rsidR="009003AC" w:rsidRPr="004D6B7F" w:rsidRDefault="009003AC">
      <w:pPr>
        <w:pStyle w:val="EndnoteText"/>
        <w:rPr>
          <w:rFonts w:ascii="Times New Roman" w:hAnsi="Times New Roman" w:cs="Times New Roman"/>
          <w:sz w:val="20"/>
          <w:szCs w:val="20"/>
        </w:rPr>
      </w:pPr>
      <w:bookmarkStart w:id="0" w:name="_GoBack"/>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proofErr w:type="gramStart"/>
      <w:r w:rsidRPr="004D6B7F">
        <w:rPr>
          <w:rFonts w:ascii="Times New Roman" w:hAnsi="Times New Roman" w:cs="Times New Roman"/>
          <w:sz w:val="20"/>
          <w:szCs w:val="20"/>
        </w:rPr>
        <w:t>15 U.S.C. § 1.</w:t>
      </w:r>
      <w:proofErr w:type="gramEnd"/>
    </w:p>
  </w:endnote>
  <w:endnote w:id="2">
    <w:p w14:paraId="7E1E6798" w14:textId="023EC0A1" w:rsidR="009003AC" w:rsidRPr="004D6B7F" w:rsidRDefault="009003AC" w:rsidP="00E84F8E">
      <w:pPr>
        <w:rPr>
          <w:rFonts w:ascii="Times New Roman" w:eastAsia="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r w:rsidRPr="004D6B7F">
        <w:rPr>
          <w:rFonts w:ascii="Times New Roman" w:eastAsia="Times New Roman" w:hAnsi="Times New Roman" w:cs="Times New Roman"/>
          <w:sz w:val="20"/>
          <w:szCs w:val="20"/>
        </w:rPr>
        <w:t xml:space="preserve">Standard Oil Co. of New Jersey v. United States, 221 U.S. 1, 66 (1911) (“If the criterion by which it is to be determined in all cases whether every contract, combination, etc., is a restraint of trade within the intendment of the law, is the direct or indirect effect of the acts involved, then of course the rule </w:t>
      </w:r>
      <w:r w:rsidR="00691782">
        <w:rPr>
          <w:rFonts w:ascii="Times New Roman" w:eastAsia="Times New Roman" w:hAnsi="Times New Roman" w:cs="Times New Roman"/>
          <w:sz w:val="20"/>
          <w:szCs w:val="20"/>
        </w:rPr>
        <w:t>of reason becomes the guide.</w:t>
      </w:r>
      <w:r w:rsidRPr="004D6B7F">
        <w:rPr>
          <w:rFonts w:ascii="Times New Roman" w:eastAsia="Times New Roman" w:hAnsi="Times New Roman" w:cs="Times New Roman"/>
          <w:sz w:val="20"/>
          <w:szCs w:val="20"/>
        </w:rPr>
        <w:t>”).</w:t>
      </w:r>
    </w:p>
  </w:endnote>
  <w:endnote w:id="3">
    <w:p w14:paraId="6E013184" w14:textId="77777777" w:rsidR="009003AC" w:rsidRPr="004D6B7F" w:rsidRDefault="009003AC" w:rsidP="00107B8A">
      <w:pPr>
        <w:rPr>
          <w:rFonts w:ascii="Times New Roman" w:eastAsia="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r w:rsidRPr="004D6B7F">
        <w:rPr>
          <w:rFonts w:ascii="Times New Roman" w:eastAsia="Times New Roman" w:hAnsi="Times New Roman" w:cs="Times New Roman"/>
          <w:sz w:val="20"/>
          <w:szCs w:val="20"/>
        </w:rPr>
        <w:t>United States v. Am. Tobacco Co., 221 U.S. 106, 179 (1911) (“[A]s the statute had not defined the words ‘restraint of trade,’ it became necessary to construe those words,-a duty which could only be discharged by a resort to reason.”).</w:t>
      </w:r>
    </w:p>
  </w:endnote>
  <w:endnote w:id="4">
    <w:p w14:paraId="467A2DBD" w14:textId="22FE5EC0" w:rsidR="009003AC" w:rsidRPr="004D6B7F" w:rsidRDefault="009003AC" w:rsidP="007061B3">
      <w:pPr>
        <w:rPr>
          <w:rFonts w:ascii="Times New Roman" w:eastAsia="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r w:rsidRPr="004D6B7F">
        <w:rPr>
          <w:rFonts w:ascii="Times New Roman" w:eastAsia="Times New Roman" w:hAnsi="Times New Roman" w:cs="Times New Roman"/>
          <w:sz w:val="20"/>
          <w:szCs w:val="20"/>
        </w:rPr>
        <w:t xml:space="preserve">United States v. </w:t>
      </w:r>
      <w:proofErr w:type="spellStart"/>
      <w:r w:rsidRPr="004D6B7F">
        <w:rPr>
          <w:rFonts w:ascii="Times New Roman" w:eastAsia="Times New Roman" w:hAnsi="Times New Roman" w:cs="Times New Roman"/>
          <w:sz w:val="20"/>
          <w:szCs w:val="20"/>
        </w:rPr>
        <w:t>Socony</w:t>
      </w:r>
      <w:proofErr w:type="spellEnd"/>
      <w:r w:rsidRPr="004D6B7F">
        <w:rPr>
          <w:rFonts w:ascii="Times New Roman" w:eastAsia="Times New Roman" w:hAnsi="Times New Roman" w:cs="Times New Roman"/>
          <w:sz w:val="20"/>
          <w:szCs w:val="20"/>
        </w:rPr>
        <w:t>-Vacuum Oil Co., 310 U.S. 150, 223 (1940)</w:t>
      </w:r>
      <w:r w:rsidRPr="004D6B7F">
        <w:rPr>
          <w:rFonts w:ascii="Times New Roman" w:hAnsi="Times New Roman" w:cs="Times New Roman"/>
          <w:sz w:val="20"/>
          <w:szCs w:val="20"/>
        </w:rPr>
        <w:t xml:space="preserve"> (“</w:t>
      </w:r>
      <w:r w:rsidRPr="004D6B7F">
        <w:rPr>
          <w:rFonts w:ascii="Times New Roman" w:eastAsia="Times New Roman" w:hAnsi="Times New Roman" w:cs="Times New Roman"/>
          <w:sz w:val="20"/>
          <w:szCs w:val="20"/>
        </w:rPr>
        <w:t>Under the Sherman Act a combination formed for the purpose and with the effect of raising, depressing, fixing, pegging, or stabilizing the price of a commodity in interstate or foreign commerce is illegal per se.”).</w:t>
      </w:r>
    </w:p>
  </w:endnote>
  <w:endnote w:id="5">
    <w:p w14:paraId="6CBCD5EC" w14:textId="3A5D6871" w:rsidR="009003AC" w:rsidRPr="004D6B7F" w:rsidRDefault="009003AC">
      <w:pPr>
        <w:pStyle w:val="EndnoteText"/>
        <w:rPr>
          <w:rFonts w:ascii="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proofErr w:type="spellStart"/>
      <w:proofErr w:type="gramStart"/>
      <w:r w:rsidRPr="004D6B7F">
        <w:rPr>
          <w:rFonts w:ascii="Times New Roman" w:hAnsi="Times New Roman" w:cs="Times New Roman"/>
          <w:sz w:val="20"/>
          <w:szCs w:val="20"/>
        </w:rPr>
        <w:t>Leegin</w:t>
      </w:r>
      <w:proofErr w:type="spellEnd"/>
      <w:r w:rsidRPr="004D6B7F">
        <w:rPr>
          <w:rFonts w:ascii="Times New Roman" w:hAnsi="Times New Roman" w:cs="Times New Roman"/>
          <w:sz w:val="20"/>
          <w:szCs w:val="20"/>
        </w:rPr>
        <w:t xml:space="preserve"> Creative Leather Products, Inc. v. PSKS, Inc., 551 U.S. 877, 887 (2007).</w:t>
      </w:r>
      <w:proofErr w:type="gramEnd"/>
      <w:r w:rsidRPr="004D6B7F">
        <w:rPr>
          <w:rFonts w:ascii="Times New Roman" w:hAnsi="Times New Roman" w:cs="Times New Roman"/>
          <w:sz w:val="20"/>
          <w:szCs w:val="20"/>
        </w:rPr>
        <w:t xml:space="preserve"> </w:t>
      </w:r>
    </w:p>
  </w:endnote>
  <w:endnote w:id="6">
    <w:p w14:paraId="5562C9AC" w14:textId="36255B85" w:rsidR="009003AC" w:rsidRPr="004D6B7F" w:rsidRDefault="009003AC" w:rsidP="00E85BCB">
      <w:pPr>
        <w:pStyle w:val="EndnoteText"/>
        <w:rPr>
          <w:rFonts w:ascii="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r w:rsidRPr="004D6B7F">
        <w:rPr>
          <w:rFonts w:ascii="Times New Roman" w:hAnsi="Times New Roman" w:cs="Times New Roman"/>
          <w:i/>
          <w:sz w:val="20"/>
          <w:szCs w:val="20"/>
        </w:rPr>
        <w:t>See</w:t>
      </w:r>
      <w:r w:rsidRPr="004D6B7F">
        <w:rPr>
          <w:rFonts w:ascii="Times New Roman" w:hAnsi="Times New Roman" w:cs="Times New Roman"/>
          <w:sz w:val="20"/>
          <w:szCs w:val="20"/>
        </w:rPr>
        <w:t xml:space="preserve"> U. S. v. Arnold, Schwinn &amp; Co., 388 U.S. 365 (1967) overruled by </w:t>
      </w:r>
      <w:proofErr w:type="spellStart"/>
      <w:r w:rsidRPr="004D6B7F">
        <w:rPr>
          <w:rFonts w:ascii="Times New Roman" w:hAnsi="Times New Roman" w:cs="Times New Roman"/>
          <w:sz w:val="20"/>
          <w:szCs w:val="20"/>
        </w:rPr>
        <w:t>Cont'l</w:t>
      </w:r>
      <w:proofErr w:type="spellEnd"/>
      <w:r w:rsidRPr="004D6B7F">
        <w:rPr>
          <w:rFonts w:ascii="Times New Roman" w:hAnsi="Times New Roman" w:cs="Times New Roman"/>
          <w:sz w:val="20"/>
          <w:szCs w:val="20"/>
        </w:rPr>
        <w:t xml:space="preserve"> T. V., Inc. v. GTE Sylvania Inc., 433 U.S. 36 (1977).</w:t>
      </w:r>
    </w:p>
  </w:endnote>
  <w:endnote w:id="7">
    <w:p w14:paraId="5C258399" w14:textId="73EF1815" w:rsidR="009003AC" w:rsidRPr="004D6B7F" w:rsidRDefault="009003AC" w:rsidP="00107B8A">
      <w:pPr>
        <w:pStyle w:val="EndnoteText"/>
        <w:rPr>
          <w:rFonts w:ascii="Times New Roman" w:hAnsi="Times New Roman" w:cs="Times New Roman"/>
          <w:color w:val="FF0000"/>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proofErr w:type="spellStart"/>
      <w:r w:rsidRPr="004D6B7F">
        <w:rPr>
          <w:rFonts w:ascii="Times New Roman" w:hAnsi="Times New Roman" w:cs="Times New Roman"/>
          <w:i/>
          <w:sz w:val="20"/>
          <w:szCs w:val="20"/>
        </w:rPr>
        <w:t>Leegin</w:t>
      </w:r>
      <w:proofErr w:type="spellEnd"/>
      <w:r w:rsidRPr="004D6B7F">
        <w:rPr>
          <w:rFonts w:ascii="Times New Roman" w:hAnsi="Times New Roman" w:cs="Times New Roman"/>
          <w:sz w:val="20"/>
          <w:szCs w:val="20"/>
        </w:rPr>
        <w:t xml:space="preserve"> 551 U.S. at 907 (overruling Dr. Miles Medical Co. v. John D. Park &amp; Sons Co., 220 U.S. 373 (1911)).</w:t>
      </w:r>
    </w:p>
  </w:endnote>
  <w:endnote w:id="8">
    <w:p w14:paraId="3355A4D6" w14:textId="6C9ED637" w:rsidR="009003AC" w:rsidRPr="004D6B7F" w:rsidRDefault="009003AC">
      <w:pPr>
        <w:pStyle w:val="EndnoteText"/>
        <w:rPr>
          <w:rFonts w:ascii="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r w:rsidRPr="004D6B7F">
        <w:rPr>
          <w:rFonts w:ascii="Times New Roman" w:hAnsi="Times New Roman" w:cs="Times New Roman"/>
          <w:i/>
          <w:sz w:val="20"/>
          <w:szCs w:val="20"/>
        </w:rPr>
        <w:t>See</w:t>
      </w:r>
      <w:r w:rsidRPr="004D6B7F">
        <w:rPr>
          <w:rFonts w:ascii="Times New Roman" w:hAnsi="Times New Roman" w:cs="Times New Roman"/>
          <w:sz w:val="20"/>
          <w:szCs w:val="20"/>
        </w:rPr>
        <w:t xml:space="preserve"> California Dental </w:t>
      </w:r>
      <w:proofErr w:type="spellStart"/>
      <w:r w:rsidRPr="004D6B7F">
        <w:rPr>
          <w:rFonts w:ascii="Times New Roman" w:hAnsi="Times New Roman" w:cs="Times New Roman"/>
          <w:sz w:val="20"/>
          <w:szCs w:val="20"/>
        </w:rPr>
        <w:t>Ass'n</w:t>
      </w:r>
      <w:proofErr w:type="spellEnd"/>
      <w:r w:rsidRPr="004D6B7F">
        <w:rPr>
          <w:rFonts w:ascii="Times New Roman" w:hAnsi="Times New Roman" w:cs="Times New Roman"/>
          <w:sz w:val="20"/>
          <w:szCs w:val="20"/>
        </w:rPr>
        <w:t xml:space="preserve"> v. F.T.C., 526 U.S. 756, 779 (1999) (“The truth is that our categories of analysis of competitive effect are less fixed than terms like ‘per se,’ . . . and ‘rule of reason’ tend to make them appear. We have recognized, for example, that ‘there is often no bright line separating per se from Rule of Reason analysis,’ since ‘considerable inquiry into market conditions may be required before the application of any so-called “per </w:t>
      </w:r>
      <w:proofErr w:type="gramStart"/>
      <w:r w:rsidRPr="004D6B7F">
        <w:rPr>
          <w:rFonts w:ascii="Times New Roman" w:hAnsi="Times New Roman" w:cs="Times New Roman"/>
          <w:sz w:val="20"/>
          <w:szCs w:val="20"/>
        </w:rPr>
        <w:t>se ”</w:t>
      </w:r>
      <w:proofErr w:type="gramEnd"/>
      <w:r w:rsidRPr="004D6B7F">
        <w:rPr>
          <w:rFonts w:ascii="Times New Roman" w:hAnsi="Times New Roman" w:cs="Times New Roman"/>
          <w:sz w:val="20"/>
          <w:szCs w:val="20"/>
        </w:rPr>
        <w:t xml:space="preserve"> condemnation is justified.”) (</w:t>
      </w:r>
      <w:proofErr w:type="gramStart"/>
      <w:r w:rsidRPr="004D6B7F">
        <w:rPr>
          <w:rFonts w:ascii="Times New Roman" w:hAnsi="Times New Roman" w:cs="Times New Roman"/>
          <w:sz w:val="20"/>
          <w:szCs w:val="20"/>
        </w:rPr>
        <w:t>quoting</w:t>
      </w:r>
      <w:proofErr w:type="gramEnd"/>
      <w:r w:rsidRPr="004D6B7F">
        <w:rPr>
          <w:rFonts w:ascii="Times New Roman" w:hAnsi="Times New Roman" w:cs="Times New Roman"/>
          <w:sz w:val="20"/>
          <w:szCs w:val="20"/>
        </w:rPr>
        <w:t xml:space="preserve"> </w:t>
      </w:r>
      <w:r w:rsidRPr="004D6B7F">
        <w:rPr>
          <w:rFonts w:ascii="Times New Roman" w:hAnsi="Times New Roman" w:cs="Times New Roman"/>
          <w:i/>
          <w:sz w:val="20"/>
          <w:szCs w:val="20"/>
        </w:rPr>
        <w:t xml:space="preserve">Nat'l Collegiate Athletic </w:t>
      </w:r>
      <w:proofErr w:type="spellStart"/>
      <w:r w:rsidRPr="004D6B7F">
        <w:rPr>
          <w:rFonts w:ascii="Times New Roman" w:hAnsi="Times New Roman" w:cs="Times New Roman"/>
          <w:i/>
          <w:sz w:val="20"/>
          <w:szCs w:val="20"/>
        </w:rPr>
        <w:t>Ass'n</w:t>
      </w:r>
      <w:proofErr w:type="spellEnd"/>
      <w:r w:rsidRPr="004D6B7F">
        <w:rPr>
          <w:rFonts w:ascii="Times New Roman" w:hAnsi="Times New Roman" w:cs="Times New Roman"/>
          <w:i/>
          <w:sz w:val="20"/>
          <w:szCs w:val="20"/>
        </w:rPr>
        <w:t xml:space="preserve"> v. Bd. of Regents of Univ. of Oklahoma</w:t>
      </w:r>
      <w:r w:rsidRPr="004D6B7F">
        <w:rPr>
          <w:rFonts w:ascii="Times New Roman" w:hAnsi="Times New Roman" w:cs="Times New Roman"/>
          <w:sz w:val="20"/>
          <w:szCs w:val="20"/>
        </w:rPr>
        <w:t>, 468 U.S. 85 at 104 (1984)).</w:t>
      </w:r>
    </w:p>
  </w:endnote>
  <w:endnote w:id="9">
    <w:p w14:paraId="6D9ECCF0" w14:textId="4EA3BEFB" w:rsidR="009003AC" w:rsidRPr="004D6B7F" w:rsidRDefault="009003AC" w:rsidP="008A1BEC">
      <w:pPr>
        <w:pStyle w:val="EndnoteText"/>
        <w:rPr>
          <w:rFonts w:ascii="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proofErr w:type="gramStart"/>
      <w:r w:rsidRPr="004D6B7F">
        <w:rPr>
          <w:rFonts w:ascii="Times New Roman" w:hAnsi="Times New Roman" w:cs="Times New Roman"/>
          <w:sz w:val="20"/>
          <w:szCs w:val="20"/>
        </w:rPr>
        <w:t>Consolidated Version of the Treaty on the Functioning of the European Union Art.</w:t>
      </w:r>
      <w:proofErr w:type="gramEnd"/>
      <w:r w:rsidRPr="004D6B7F">
        <w:rPr>
          <w:rFonts w:ascii="Times New Roman" w:hAnsi="Times New Roman" w:cs="Times New Roman"/>
          <w:sz w:val="20"/>
          <w:szCs w:val="20"/>
        </w:rPr>
        <w:t xml:space="preserve"> 101, 2008 O.J. C 11</w:t>
      </w:r>
      <w:r>
        <w:rPr>
          <w:rFonts w:ascii="Times New Roman" w:hAnsi="Times New Roman" w:cs="Times New Roman"/>
          <w:sz w:val="20"/>
          <w:szCs w:val="20"/>
        </w:rPr>
        <w:t>5 at 88-89</w:t>
      </w:r>
      <w:r w:rsidRPr="004D6B7F">
        <w:rPr>
          <w:rFonts w:ascii="Times New Roman" w:hAnsi="Times New Roman" w:cs="Times New Roman"/>
          <w:sz w:val="20"/>
          <w:szCs w:val="20"/>
        </w:rPr>
        <w:t>.</w:t>
      </w:r>
    </w:p>
  </w:endnote>
  <w:endnote w:id="10">
    <w:p w14:paraId="4FA5E3A7" w14:textId="382FAAAD" w:rsidR="009003AC" w:rsidRPr="004D6B7F" w:rsidRDefault="009003AC" w:rsidP="00F9147F">
      <w:pPr>
        <w:pStyle w:val="EndnoteText"/>
        <w:rPr>
          <w:rFonts w:ascii="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Case C-209/07 Beef Industry Development Society and Barry Brothers [2008] ECR I-0000 (‘BIDS’), paragraph 16.</w:t>
      </w:r>
    </w:p>
  </w:endnote>
  <w:endnote w:id="11">
    <w:p w14:paraId="1B197E9B" w14:textId="24A61CED" w:rsidR="009003AC" w:rsidRPr="004D6B7F" w:rsidRDefault="009003AC" w:rsidP="00322037">
      <w:pPr>
        <w:pStyle w:val="EndnoteText"/>
        <w:rPr>
          <w:rFonts w:ascii="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proofErr w:type="gramStart"/>
      <w:r w:rsidRPr="004D6B7F">
        <w:rPr>
          <w:rFonts w:ascii="Times New Roman" w:hAnsi="Times New Roman" w:cs="Times New Roman"/>
          <w:sz w:val="20"/>
          <w:szCs w:val="20"/>
        </w:rPr>
        <w:t xml:space="preserve">Case C-8/08 T-Mobile Netherlands BV and Others v. </w:t>
      </w:r>
      <w:proofErr w:type="spellStart"/>
      <w:r w:rsidRPr="004D6B7F">
        <w:rPr>
          <w:rFonts w:ascii="Times New Roman" w:hAnsi="Times New Roman" w:cs="Times New Roman"/>
          <w:sz w:val="20"/>
          <w:szCs w:val="20"/>
        </w:rPr>
        <w:t>Raad</w:t>
      </w:r>
      <w:proofErr w:type="spellEnd"/>
      <w:r w:rsidRPr="004D6B7F">
        <w:rPr>
          <w:rFonts w:ascii="Times New Roman" w:hAnsi="Times New Roman" w:cs="Times New Roman"/>
          <w:sz w:val="20"/>
          <w:szCs w:val="20"/>
        </w:rPr>
        <w:t xml:space="preserve"> van </w:t>
      </w:r>
      <w:proofErr w:type="spellStart"/>
      <w:r w:rsidRPr="004D6B7F">
        <w:rPr>
          <w:rFonts w:ascii="Times New Roman" w:hAnsi="Times New Roman" w:cs="Times New Roman"/>
          <w:sz w:val="20"/>
          <w:szCs w:val="20"/>
        </w:rPr>
        <w:t>bestuur</w:t>
      </w:r>
      <w:proofErr w:type="spellEnd"/>
      <w:r w:rsidRPr="004D6B7F">
        <w:rPr>
          <w:rFonts w:ascii="Times New Roman" w:hAnsi="Times New Roman" w:cs="Times New Roman"/>
          <w:sz w:val="20"/>
          <w:szCs w:val="20"/>
        </w:rPr>
        <w:t xml:space="preserve"> van de </w:t>
      </w:r>
      <w:proofErr w:type="spellStart"/>
      <w:r w:rsidRPr="004D6B7F">
        <w:rPr>
          <w:rFonts w:ascii="Times New Roman" w:hAnsi="Times New Roman" w:cs="Times New Roman"/>
          <w:sz w:val="20"/>
          <w:szCs w:val="20"/>
        </w:rPr>
        <w:t>Nederlandse</w:t>
      </w:r>
      <w:proofErr w:type="spellEnd"/>
      <w:r w:rsidRPr="004D6B7F">
        <w:rPr>
          <w:rFonts w:ascii="Times New Roman" w:hAnsi="Times New Roman" w:cs="Times New Roman"/>
          <w:sz w:val="20"/>
          <w:szCs w:val="20"/>
        </w:rPr>
        <w:t xml:space="preserve"> </w:t>
      </w:r>
      <w:proofErr w:type="spellStart"/>
      <w:r w:rsidRPr="004D6B7F">
        <w:rPr>
          <w:rFonts w:ascii="Times New Roman" w:hAnsi="Times New Roman" w:cs="Times New Roman"/>
          <w:sz w:val="20"/>
          <w:szCs w:val="20"/>
        </w:rPr>
        <w:t>Mededingingsautoriteit</w:t>
      </w:r>
      <w:proofErr w:type="spellEnd"/>
      <w:r w:rsidRPr="004D6B7F">
        <w:rPr>
          <w:rFonts w:ascii="Times New Roman" w:hAnsi="Times New Roman" w:cs="Times New Roman"/>
          <w:sz w:val="20"/>
          <w:szCs w:val="20"/>
        </w:rPr>
        <w:t xml:space="preserve"> [2009] ECR I-04529,</w:t>
      </w:r>
      <w:r>
        <w:rPr>
          <w:rFonts w:ascii="Times New Roman" w:hAnsi="Times New Roman" w:cs="Times New Roman"/>
          <w:sz w:val="20"/>
          <w:szCs w:val="20"/>
        </w:rPr>
        <w:t xml:space="preserve"> AG Opinion</w:t>
      </w:r>
      <w:r w:rsidRPr="004D6B7F">
        <w:rPr>
          <w:rFonts w:ascii="Times New Roman" w:hAnsi="Times New Roman" w:cs="Times New Roman"/>
          <w:sz w:val="20"/>
          <w:szCs w:val="20"/>
        </w:rPr>
        <w:t>, paragraph 43.</w:t>
      </w:r>
      <w:proofErr w:type="gramEnd"/>
    </w:p>
  </w:endnote>
  <w:endnote w:id="12">
    <w:p w14:paraId="0EF964C3" w14:textId="0586F8D4" w:rsidR="009003AC" w:rsidRPr="004D6B7F" w:rsidRDefault="009003AC" w:rsidP="001C1E7B">
      <w:pPr>
        <w:pStyle w:val="EndnoteText"/>
        <w:rPr>
          <w:rFonts w:ascii="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Case C-226/11 Expedia, Inc. v. </w:t>
      </w:r>
      <w:proofErr w:type="spellStart"/>
      <w:r w:rsidRPr="004D6B7F">
        <w:rPr>
          <w:rFonts w:ascii="Times New Roman" w:hAnsi="Times New Roman" w:cs="Times New Roman"/>
          <w:sz w:val="20"/>
          <w:szCs w:val="20"/>
        </w:rPr>
        <w:t>Autorité</w:t>
      </w:r>
      <w:proofErr w:type="spellEnd"/>
      <w:r w:rsidRPr="004D6B7F">
        <w:rPr>
          <w:rFonts w:ascii="Times New Roman" w:hAnsi="Times New Roman" w:cs="Times New Roman"/>
          <w:sz w:val="20"/>
          <w:szCs w:val="20"/>
        </w:rPr>
        <w:t xml:space="preserve"> de la concurrence and </w:t>
      </w:r>
      <w:proofErr w:type="gramStart"/>
      <w:r w:rsidRPr="004D6B7F">
        <w:rPr>
          <w:rFonts w:ascii="Times New Roman" w:hAnsi="Times New Roman" w:cs="Times New Roman"/>
          <w:sz w:val="20"/>
          <w:szCs w:val="20"/>
        </w:rPr>
        <w:t>Others</w:t>
      </w:r>
      <w:proofErr w:type="gramEnd"/>
      <w:r w:rsidRPr="004D6B7F">
        <w:rPr>
          <w:rFonts w:ascii="Times New Roman" w:hAnsi="Times New Roman" w:cs="Times New Roman"/>
          <w:sz w:val="20"/>
          <w:szCs w:val="20"/>
        </w:rPr>
        <w:t xml:space="preserve"> [2012] ECR 0000, paragraph 36.</w:t>
      </w:r>
    </w:p>
  </w:endnote>
  <w:endnote w:id="13">
    <w:p w14:paraId="35122608" w14:textId="6EDE74DB" w:rsidR="009003AC" w:rsidRPr="004D6B7F" w:rsidRDefault="009003AC">
      <w:pPr>
        <w:pStyle w:val="EndnoteText"/>
        <w:rPr>
          <w:rFonts w:ascii="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r w:rsidRPr="004D6B7F">
        <w:rPr>
          <w:rFonts w:ascii="Times New Roman" w:hAnsi="Times New Roman" w:cs="Times New Roman"/>
          <w:i/>
          <w:sz w:val="20"/>
          <w:szCs w:val="20"/>
        </w:rPr>
        <w:t>Id.</w:t>
      </w:r>
      <w:r w:rsidRPr="004D6B7F">
        <w:rPr>
          <w:rFonts w:ascii="Times New Roman" w:hAnsi="Times New Roman" w:cs="Times New Roman"/>
          <w:sz w:val="20"/>
          <w:szCs w:val="20"/>
        </w:rPr>
        <w:t xml:space="preserve"> at paragraph 35 (citing Joined Cases 56/64 and 58/64 </w:t>
      </w:r>
      <w:proofErr w:type="spellStart"/>
      <w:r w:rsidRPr="004D6B7F">
        <w:rPr>
          <w:rFonts w:ascii="Times New Roman" w:hAnsi="Times New Roman" w:cs="Times New Roman"/>
          <w:sz w:val="20"/>
          <w:szCs w:val="20"/>
        </w:rPr>
        <w:t>Consten</w:t>
      </w:r>
      <w:proofErr w:type="spellEnd"/>
      <w:r w:rsidRPr="004D6B7F">
        <w:rPr>
          <w:rFonts w:ascii="Times New Roman" w:hAnsi="Times New Roman" w:cs="Times New Roman"/>
          <w:sz w:val="20"/>
          <w:szCs w:val="20"/>
        </w:rPr>
        <w:t xml:space="preserve"> and </w:t>
      </w:r>
      <w:proofErr w:type="spellStart"/>
      <w:r w:rsidRPr="004D6B7F">
        <w:rPr>
          <w:rFonts w:ascii="Times New Roman" w:hAnsi="Times New Roman" w:cs="Times New Roman"/>
          <w:sz w:val="20"/>
          <w:szCs w:val="20"/>
        </w:rPr>
        <w:t>Grundig</w:t>
      </w:r>
      <w:proofErr w:type="spellEnd"/>
      <w:r w:rsidRPr="004D6B7F">
        <w:rPr>
          <w:rFonts w:ascii="Times New Roman" w:hAnsi="Times New Roman" w:cs="Times New Roman"/>
          <w:sz w:val="20"/>
          <w:szCs w:val="20"/>
        </w:rPr>
        <w:t xml:space="preserve"> v. Commission [1966] ECR 299; Case C-272/09 P KME Germany and Others v. Commission [2011] ECR I-0000, paragraph 65; and Case C-389/10 P KME Germany and Others v. Commission [2011] ECR I-0000, paragraph 75).</w:t>
      </w:r>
    </w:p>
  </w:endnote>
  <w:endnote w:id="14">
    <w:p w14:paraId="7CBC2778" w14:textId="68C86B2B" w:rsidR="009003AC" w:rsidRPr="004D6B7F" w:rsidRDefault="009003AC" w:rsidP="00743D90">
      <w:pPr>
        <w:pStyle w:val="EndnoteText"/>
        <w:rPr>
          <w:rFonts w:ascii="Times New Roman" w:hAnsi="Times New Roman" w:cs="Times New Roman"/>
          <w:sz w:val="20"/>
          <w:szCs w:val="20"/>
        </w:rPr>
      </w:pPr>
      <w:r w:rsidRPr="004D6B7F">
        <w:rPr>
          <w:rStyle w:val="EndnoteReference"/>
          <w:rFonts w:ascii="Times New Roman" w:hAnsi="Times New Roman" w:cs="Times New Roman"/>
          <w:sz w:val="20"/>
          <w:szCs w:val="20"/>
        </w:rPr>
        <w:endnoteRef/>
      </w:r>
      <w:r w:rsidRPr="004D6B7F">
        <w:rPr>
          <w:rFonts w:ascii="Times New Roman" w:hAnsi="Times New Roman" w:cs="Times New Roman"/>
          <w:sz w:val="20"/>
          <w:szCs w:val="20"/>
        </w:rPr>
        <w:t xml:space="preserve"> </w:t>
      </w:r>
      <w:r w:rsidRPr="004D6B7F">
        <w:rPr>
          <w:rFonts w:ascii="Times New Roman" w:hAnsi="Times New Roman" w:cs="Times New Roman"/>
          <w:i/>
          <w:sz w:val="20"/>
          <w:szCs w:val="20"/>
        </w:rPr>
        <w:t>Marbury v. Madison</w:t>
      </w:r>
      <w:r w:rsidRPr="004D6B7F">
        <w:rPr>
          <w:rFonts w:ascii="Times New Roman" w:hAnsi="Times New Roman" w:cs="Times New Roman"/>
          <w:sz w:val="20"/>
          <w:szCs w:val="20"/>
        </w:rPr>
        <w:t xml:space="preserve"> 5 U.S. (1 </w:t>
      </w:r>
      <w:proofErr w:type="spellStart"/>
      <w:r w:rsidRPr="004D6B7F">
        <w:rPr>
          <w:rFonts w:ascii="Times New Roman" w:hAnsi="Times New Roman" w:cs="Times New Roman"/>
          <w:sz w:val="20"/>
          <w:szCs w:val="20"/>
        </w:rPr>
        <w:t>Cranch</w:t>
      </w:r>
      <w:proofErr w:type="spellEnd"/>
      <w:r w:rsidRPr="004D6B7F">
        <w:rPr>
          <w:rFonts w:ascii="Times New Roman" w:hAnsi="Times New Roman" w:cs="Times New Roman"/>
          <w:sz w:val="20"/>
          <w:szCs w:val="20"/>
        </w:rPr>
        <w:t>) 137, 177 (1803) (“It is emphatically the province and duty of the judicial department to say what the law 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3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4EF1D" w14:textId="77777777" w:rsidR="00A844C0" w:rsidRDefault="00A844C0" w:rsidP="00306D22">
      <w:r>
        <w:separator/>
      </w:r>
    </w:p>
  </w:footnote>
  <w:footnote w:type="continuationSeparator" w:id="0">
    <w:p w14:paraId="04286E37" w14:textId="77777777" w:rsidR="00A844C0" w:rsidRDefault="00A844C0" w:rsidP="00306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EE"/>
    <w:rsid w:val="00001085"/>
    <w:rsid w:val="00020595"/>
    <w:rsid w:val="00035E97"/>
    <w:rsid w:val="000432E9"/>
    <w:rsid w:val="000460B5"/>
    <w:rsid w:val="000524D1"/>
    <w:rsid w:val="00060251"/>
    <w:rsid w:val="00064BDE"/>
    <w:rsid w:val="0006760E"/>
    <w:rsid w:val="000723C1"/>
    <w:rsid w:val="0007300D"/>
    <w:rsid w:val="000961F9"/>
    <w:rsid w:val="000D5CF2"/>
    <w:rsid w:val="000E219E"/>
    <w:rsid w:val="000E54BE"/>
    <w:rsid w:val="000F542B"/>
    <w:rsid w:val="000F74DB"/>
    <w:rsid w:val="00102059"/>
    <w:rsid w:val="00106066"/>
    <w:rsid w:val="00107B8A"/>
    <w:rsid w:val="0012395A"/>
    <w:rsid w:val="00160B35"/>
    <w:rsid w:val="00163B77"/>
    <w:rsid w:val="001750B4"/>
    <w:rsid w:val="00185CBF"/>
    <w:rsid w:val="00195AF7"/>
    <w:rsid w:val="001C1E7B"/>
    <w:rsid w:val="001F3537"/>
    <w:rsid w:val="001F359D"/>
    <w:rsid w:val="001F5DC9"/>
    <w:rsid w:val="0020540A"/>
    <w:rsid w:val="00213A06"/>
    <w:rsid w:val="002379C3"/>
    <w:rsid w:val="002746F8"/>
    <w:rsid w:val="00277081"/>
    <w:rsid w:val="002D0052"/>
    <w:rsid w:val="002D146B"/>
    <w:rsid w:val="002D77BA"/>
    <w:rsid w:val="002E0ED5"/>
    <w:rsid w:val="002F7943"/>
    <w:rsid w:val="00306D22"/>
    <w:rsid w:val="00310392"/>
    <w:rsid w:val="00322037"/>
    <w:rsid w:val="00333BE3"/>
    <w:rsid w:val="00335E57"/>
    <w:rsid w:val="00341478"/>
    <w:rsid w:val="00384204"/>
    <w:rsid w:val="003C0855"/>
    <w:rsid w:val="003C6FEF"/>
    <w:rsid w:val="003D3F7E"/>
    <w:rsid w:val="003E0C96"/>
    <w:rsid w:val="003E1CDE"/>
    <w:rsid w:val="003E303A"/>
    <w:rsid w:val="004115C3"/>
    <w:rsid w:val="004331D9"/>
    <w:rsid w:val="00445AC7"/>
    <w:rsid w:val="0045209A"/>
    <w:rsid w:val="0045464D"/>
    <w:rsid w:val="00461468"/>
    <w:rsid w:val="00466B60"/>
    <w:rsid w:val="00473780"/>
    <w:rsid w:val="00495499"/>
    <w:rsid w:val="004B0FAC"/>
    <w:rsid w:val="004B4DDC"/>
    <w:rsid w:val="004D45F5"/>
    <w:rsid w:val="004D6B7F"/>
    <w:rsid w:val="00501A1B"/>
    <w:rsid w:val="00515712"/>
    <w:rsid w:val="00515B33"/>
    <w:rsid w:val="00523897"/>
    <w:rsid w:val="005379A9"/>
    <w:rsid w:val="00562185"/>
    <w:rsid w:val="00563D51"/>
    <w:rsid w:val="00582C84"/>
    <w:rsid w:val="005A291A"/>
    <w:rsid w:val="005D0E4E"/>
    <w:rsid w:val="005D1D45"/>
    <w:rsid w:val="005D7FB4"/>
    <w:rsid w:val="006019B9"/>
    <w:rsid w:val="0060707C"/>
    <w:rsid w:val="00607BD7"/>
    <w:rsid w:val="0062646D"/>
    <w:rsid w:val="0063510A"/>
    <w:rsid w:val="00667264"/>
    <w:rsid w:val="006815CC"/>
    <w:rsid w:val="00685FE4"/>
    <w:rsid w:val="006861B4"/>
    <w:rsid w:val="00686BC9"/>
    <w:rsid w:val="00691782"/>
    <w:rsid w:val="0069792D"/>
    <w:rsid w:val="006C7663"/>
    <w:rsid w:val="006C7B3D"/>
    <w:rsid w:val="006D25C3"/>
    <w:rsid w:val="006E53FE"/>
    <w:rsid w:val="007061B3"/>
    <w:rsid w:val="00717001"/>
    <w:rsid w:val="00734A59"/>
    <w:rsid w:val="00737585"/>
    <w:rsid w:val="0073760F"/>
    <w:rsid w:val="00743D90"/>
    <w:rsid w:val="00773482"/>
    <w:rsid w:val="00784E73"/>
    <w:rsid w:val="007B6393"/>
    <w:rsid w:val="007D2C18"/>
    <w:rsid w:val="007E02A2"/>
    <w:rsid w:val="007F086B"/>
    <w:rsid w:val="00827ADF"/>
    <w:rsid w:val="00830F13"/>
    <w:rsid w:val="008337E0"/>
    <w:rsid w:val="008633EE"/>
    <w:rsid w:val="00864B57"/>
    <w:rsid w:val="00864B96"/>
    <w:rsid w:val="008A1BEC"/>
    <w:rsid w:val="008B1958"/>
    <w:rsid w:val="008C0185"/>
    <w:rsid w:val="008C3749"/>
    <w:rsid w:val="008D4D56"/>
    <w:rsid w:val="008E1430"/>
    <w:rsid w:val="008F15B8"/>
    <w:rsid w:val="008F3308"/>
    <w:rsid w:val="009003AC"/>
    <w:rsid w:val="00951880"/>
    <w:rsid w:val="009629DF"/>
    <w:rsid w:val="00986B27"/>
    <w:rsid w:val="009A1D5B"/>
    <w:rsid w:val="009B5F77"/>
    <w:rsid w:val="009D6702"/>
    <w:rsid w:val="009F16A6"/>
    <w:rsid w:val="009F22D0"/>
    <w:rsid w:val="00A23A30"/>
    <w:rsid w:val="00A30B95"/>
    <w:rsid w:val="00A844C0"/>
    <w:rsid w:val="00AB1E6A"/>
    <w:rsid w:val="00AE4BFE"/>
    <w:rsid w:val="00AE7A97"/>
    <w:rsid w:val="00B04319"/>
    <w:rsid w:val="00B15D84"/>
    <w:rsid w:val="00B21A98"/>
    <w:rsid w:val="00B24BA3"/>
    <w:rsid w:val="00B27E19"/>
    <w:rsid w:val="00BA3A73"/>
    <w:rsid w:val="00BD0399"/>
    <w:rsid w:val="00BE21E4"/>
    <w:rsid w:val="00BE39FB"/>
    <w:rsid w:val="00C01308"/>
    <w:rsid w:val="00C05EB2"/>
    <w:rsid w:val="00C06A38"/>
    <w:rsid w:val="00C22EB1"/>
    <w:rsid w:val="00C30682"/>
    <w:rsid w:val="00C32DC4"/>
    <w:rsid w:val="00C41C74"/>
    <w:rsid w:val="00C503DB"/>
    <w:rsid w:val="00C634ED"/>
    <w:rsid w:val="00C81764"/>
    <w:rsid w:val="00C85F7C"/>
    <w:rsid w:val="00C93E75"/>
    <w:rsid w:val="00CD77DF"/>
    <w:rsid w:val="00CD7C7D"/>
    <w:rsid w:val="00CE15BC"/>
    <w:rsid w:val="00D03BE7"/>
    <w:rsid w:val="00D568FA"/>
    <w:rsid w:val="00D7149D"/>
    <w:rsid w:val="00D7370F"/>
    <w:rsid w:val="00DB10A8"/>
    <w:rsid w:val="00DB5A2D"/>
    <w:rsid w:val="00DF081C"/>
    <w:rsid w:val="00DF6817"/>
    <w:rsid w:val="00E117A7"/>
    <w:rsid w:val="00E37690"/>
    <w:rsid w:val="00E41EE6"/>
    <w:rsid w:val="00E84F8E"/>
    <w:rsid w:val="00E85BCB"/>
    <w:rsid w:val="00E94E3A"/>
    <w:rsid w:val="00EB614F"/>
    <w:rsid w:val="00EC0AE5"/>
    <w:rsid w:val="00EE08AA"/>
    <w:rsid w:val="00F01128"/>
    <w:rsid w:val="00F220A4"/>
    <w:rsid w:val="00F25786"/>
    <w:rsid w:val="00F265CB"/>
    <w:rsid w:val="00F304DC"/>
    <w:rsid w:val="00F4063B"/>
    <w:rsid w:val="00F42469"/>
    <w:rsid w:val="00F6517E"/>
    <w:rsid w:val="00F81181"/>
    <w:rsid w:val="00F84BA7"/>
    <w:rsid w:val="00F9147F"/>
    <w:rsid w:val="00FD03CB"/>
    <w:rsid w:val="00FD555A"/>
    <w:rsid w:val="00FE2582"/>
    <w:rsid w:val="00FE6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232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06D22"/>
  </w:style>
  <w:style w:type="character" w:customStyle="1" w:styleId="EndnoteTextChar">
    <w:name w:val="Endnote Text Char"/>
    <w:basedOn w:val="DefaultParagraphFont"/>
    <w:link w:val="EndnoteText"/>
    <w:uiPriority w:val="99"/>
    <w:rsid w:val="00306D22"/>
  </w:style>
  <w:style w:type="character" w:styleId="EndnoteReference">
    <w:name w:val="endnote reference"/>
    <w:basedOn w:val="DefaultParagraphFont"/>
    <w:uiPriority w:val="99"/>
    <w:unhideWhenUsed/>
    <w:rsid w:val="00306D22"/>
    <w:rPr>
      <w:vertAlign w:val="superscript"/>
    </w:rPr>
  </w:style>
  <w:style w:type="paragraph" w:styleId="FootnoteText">
    <w:name w:val="footnote text"/>
    <w:basedOn w:val="Normal"/>
    <w:link w:val="FootnoteTextChar"/>
    <w:uiPriority w:val="99"/>
    <w:unhideWhenUsed/>
    <w:rsid w:val="00E117A7"/>
  </w:style>
  <w:style w:type="character" w:customStyle="1" w:styleId="FootnoteTextChar">
    <w:name w:val="Footnote Text Char"/>
    <w:basedOn w:val="DefaultParagraphFont"/>
    <w:link w:val="FootnoteText"/>
    <w:uiPriority w:val="99"/>
    <w:rsid w:val="00E117A7"/>
  </w:style>
  <w:style w:type="character" w:styleId="FootnoteReference">
    <w:name w:val="footnote reference"/>
    <w:basedOn w:val="DefaultParagraphFont"/>
    <w:uiPriority w:val="99"/>
    <w:unhideWhenUsed/>
    <w:rsid w:val="00E117A7"/>
    <w:rPr>
      <w:vertAlign w:val="superscript"/>
    </w:rPr>
  </w:style>
  <w:style w:type="paragraph" w:styleId="Header">
    <w:name w:val="header"/>
    <w:basedOn w:val="Normal"/>
    <w:link w:val="HeaderChar"/>
    <w:uiPriority w:val="99"/>
    <w:unhideWhenUsed/>
    <w:rsid w:val="0045464D"/>
    <w:pPr>
      <w:tabs>
        <w:tab w:val="center" w:pos="4320"/>
        <w:tab w:val="right" w:pos="8640"/>
      </w:tabs>
    </w:pPr>
  </w:style>
  <w:style w:type="character" w:customStyle="1" w:styleId="HeaderChar">
    <w:name w:val="Header Char"/>
    <w:basedOn w:val="DefaultParagraphFont"/>
    <w:link w:val="Header"/>
    <w:uiPriority w:val="99"/>
    <w:rsid w:val="0045464D"/>
  </w:style>
  <w:style w:type="paragraph" w:styleId="Footer">
    <w:name w:val="footer"/>
    <w:basedOn w:val="Normal"/>
    <w:link w:val="FooterChar"/>
    <w:uiPriority w:val="99"/>
    <w:unhideWhenUsed/>
    <w:rsid w:val="0045464D"/>
    <w:pPr>
      <w:tabs>
        <w:tab w:val="center" w:pos="4320"/>
        <w:tab w:val="right" w:pos="8640"/>
      </w:tabs>
    </w:pPr>
  </w:style>
  <w:style w:type="character" w:customStyle="1" w:styleId="FooterChar">
    <w:name w:val="Footer Char"/>
    <w:basedOn w:val="DefaultParagraphFont"/>
    <w:link w:val="Footer"/>
    <w:uiPriority w:val="99"/>
    <w:rsid w:val="0045464D"/>
  </w:style>
  <w:style w:type="paragraph" w:styleId="BalloonText">
    <w:name w:val="Balloon Text"/>
    <w:basedOn w:val="Normal"/>
    <w:link w:val="BalloonTextChar"/>
    <w:uiPriority w:val="99"/>
    <w:semiHidden/>
    <w:unhideWhenUsed/>
    <w:rsid w:val="00333BE3"/>
    <w:rPr>
      <w:rFonts w:ascii="Lucida Grande" w:hAnsi="Lucida Grande"/>
      <w:sz w:val="18"/>
      <w:szCs w:val="18"/>
    </w:rPr>
  </w:style>
  <w:style w:type="character" w:customStyle="1" w:styleId="BalloonTextChar">
    <w:name w:val="Balloon Text Char"/>
    <w:basedOn w:val="DefaultParagraphFont"/>
    <w:link w:val="BalloonText"/>
    <w:uiPriority w:val="99"/>
    <w:semiHidden/>
    <w:rsid w:val="00333BE3"/>
    <w:rPr>
      <w:rFonts w:ascii="Lucida Grande" w:hAnsi="Lucida Grande"/>
      <w:sz w:val="18"/>
      <w:szCs w:val="18"/>
    </w:rPr>
  </w:style>
  <w:style w:type="character" w:styleId="CommentReference">
    <w:name w:val="annotation reference"/>
    <w:basedOn w:val="DefaultParagraphFont"/>
    <w:uiPriority w:val="99"/>
    <w:semiHidden/>
    <w:unhideWhenUsed/>
    <w:rsid w:val="006D25C3"/>
    <w:rPr>
      <w:sz w:val="18"/>
      <w:szCs w:val="18"/>
    </w:rPr>
  </w:style>
  <w:style w:type="paragraph" w:styleId="CommentText">
    <w:name w:val="annotation text"/>
    <w:basedOn w:val="Normal"/>
    <w:link w:val="CommentTextChar"/>
    <w:uiPriority w:val="99"/>
    <w:semiHidden/>
    <w:unhideWhenUsed/>
    <w:rsid w:val="006D25C3"/>
  </w:style>
  <w:style w:type="character" w:customStyle="1" w:styleId="CommentTextChar">
    <w:name w:val="Comment Text Char"/>
    <w:basedOn w:val="DefaultParagraphFont"/>
    <w:link w:val="CommentText"/>
    <w:uiPriority w:val="99"/>
    <w:semiHidden/>
    <w:rsid w:val="006D25C3"/>
  </w:style>
  <w:style w:type="paragraph" w:styleId="CommentSubject">
    <w:name w:val="annotation subject"/>
    <w:basedOn w:val="CommentText"/>
    <w:next w:val="CommentText"/>
    <w:link w:val="CommentSubjectChar"/>
    <w:uiPriority w:val="99"/>
    <w:semiHidden/>
    <w:unhideWhenUsed/>
    <w:rsid w:val="006D25C3"/>
    <w:rPr>
      <w:b/>
      <w:bCs/>
      <w:sz w:val="20"/>
      <w:szCs w:val="20"/>
    </w:rPr>
  </w:style>
  <w:style w:type="character" w:customStyle="1" w:styleId="CommentSubjectChar">
    <w:name w:val="Comment Subject Char"/>
    <w:basedOn w:val="CommentTextChar"/>
    <w:link w:val="CommentSubject"/>
    <w:uiPriority w:val="99"/>
    <w:semiHidden/>
    <w:rsid w:val="006D25C3"/>
    <w:rPr>
      <w:b/>
      <w:bCs/>
      <w:sz w:val="20"/>
      <w:szCs w:val="20"/>
    </w:rPr>
  </w:style>
  <w:style w:type="character" w:styleId="Hyperlink">
    <w:name w:val="Hyperlink"/>
    <w:basedOn w:val="DefaultParagraphFont"/>
    <w:uiPriority w:val="99"/>
    <w:unhideWhenUsed/>
    <w:rsid w:val="000524D1"/>
    <w:rPr>
      <w:color w:val="0000FF" w:themeColor="hyperlink"/>
      <w:u w:val="single"/>
    </w:rPr>
  </w:style>
  <w:style w:type="character" w:customStyle="1" w:styleId="costarpage">
    <w:name w:val="co_starpage"/>
    <w:basedOn w:val="DefaultParagraphFont"/>
    <w:rsid w:val="00466B60"/>
  </w:style>
  <w:style w:type="paragraph" w:styleId="Revision">
    <w:name w:val="Revision"/>
    <w:hidden/>
    <w:uiPriority w:val="99"/>
    <w:semiHidden/>
    <w:rsid w:val="00DF081C"/>
  </w:style>
  <w:style w:type="character" w:styleId="FollowedHyperlink">
    <w:name w:val="FollowedHyperlink"/>
    <w:basedOn w:val="DefaultParagraphFont"/>
    <w:uiPriority w:val="99"/>
    <w:semiHidden/>
    <w:unhideWhenUsed/>
    <w:rsid w:val="000205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06D22"/>
  </w:style>
  <w:style w:type="character" w:customStyle="1" w:styleId="EndnoteTextChar">
    <w:name w:val="Endnote Text Char"/>
    <w:basedOn w:val="DefaultParagraphFont"/>
    <w:link w:val="EndnoteText"/>
    <w:uiPriority w:val="99"/>
    <w:rsid w:val="00306D22"/>
  </w:style>
  <w:style w:type="character" w:styleId="EndnoteReference">
    <w:name w:val="endnote reference"/>
    <w:basedOn w:val="DefaultParagraphFont"/>
    <w:uiPriority w:val="99"/>
    <w:unhideWhenUsed/>
    <w:rsid w:val="00306D22"/>
    <w:rPr>
      <w:vertAlign w:val="superscript"/>
    </w:rPr>
  </w:style>
  <w:style w:type="paragraph" w:styleId="FootnoteText">
    <w:name w:val="footnote text"/>
    <w:basedOn w:val="Normal"/>
    <w:link w:val="FootnoteTextChar"/>
    <w:uiPriority w:val="99"/>
    <w:unhideWhenUsed/>
    <w:rsid w:val="00E117A7"/>
  </w:style>
  <w:style w:type="character" w:customStyle="1" w:styleId="FootnoteTextChar">
    <w:name w:val="Footnote Text Char"/>
    <w:basedOn w:val="DefaultParagraphFont"/>
    <w:link w:val="FootnoteText"/>
    <w:uiPriority w:val="99"/>
    <w:rsid w:val="00E117A7"/>
  </w:style>
  <w:style w:type="character" w:styleId="FootnoteReference">
    <w:name w:val="footnote reference"/>
    <w:basedOn w:val="DefaultParagraphFont"/>
    <w:uiPriority w:val="99"/>
    <w:unhideWhenUsed/>
    <w:rsid w:val="00E117A7"/>
    <w:rPr>
      <w:vertAlign w:val="superscript"/>
    </w:rPr>
  </w:style>
  <w:style w:type="paragraph" w:styleId="Header">
    <w:name w:val="header"/>
    <w:basedOn w:val="Normal"/>
    <w:link w:val="HeaderChar"/>
    <w:uiPriority w:val="99"/>
    <w:unhideWhenUsed/>
    <w:rsid w:val="0045464D"/>
    <w:pPr>
      <w:tabs>
        <w:tab w:val="center" w:pos="4320"/>
        <w:tab w:val="right" w:pos="8640"/>
      </w:tabs>
    </w:pPr>
  </w:style>
  <w:style w:type="character" w:customStyle="1" w:styleId="HeaderChar">
    <w:name w:val="Header Char"/>
    <w:basedOn w:val="DefaultParagraphFont"/>
    <w:link w:val="Header"/>
    <w:uiPriority w:val="99"/>
    <w:rsid w:val="0045464D"/>
  </w:style>
  <w:style w:type="paragraph" w:styleId="Footer">
    <w:name w:val="footer"/>
    <w:basedOn w:val="Normal"/>
    <w:link w:val="FooterChar"/>
    <w:uiPriority w:val="99"/>
    <w:unhideWhenUsed/>
    <w:rsid w:val="0045464D"/>
    <w:pPr>
      <w:tabs>
        <w:tab w:val="center" w:pos="4320"/>
        <w:tab w:val="right" w:pos="8640"/>
      </w:tabs>
    </w:pPr>
  </w:style>
  <w:style w:type="character" w:customStyle="1" w:styleId="FooterChar">
    <w:name w:val="Footer Char"/>
    <w:basedOn w:val="DefaultParagraphFont"/>
    <w:link w:val="Footer"/>
    <w:uiPriority w:val="99"/>
    <w:rsid w:val="0045464D"/>
  </w:style>
  <w:style w:type="paragraph" w:styleId="BalloonText">
    <w:name w:val="Balloon Text"/>
    <w:basedOn w:val="Normal"/>
    <w:link w:val="BalloonTextChar"/>
    <w:uiPriority w:val="99"/>
    <w:semiHidden/>
    <w:unhideWhenUsed/>
    <w:rsid w:val="00333BE3"/>
    <w:rPr>
      <w:rFonts w:ascii="Lucida Grande" w:hAnsi="Lucida Grande"/>
      <w:sz w:val="18"/>
      <w:szCs w:val="18"/>
    </w:rPr>
  </w:style>
  <w:style w:type="character" w:customStyle="1" w:styleId="BalloonTextChar">
    <w:name w:val="Balloon Text Char"/>
    <w:basedOn w:val="DefaultParagraphFont"/>
    <w:link w:val="BalloonText"/>
    <w:uiPriority w:val="99"/>
    <w:semiHidden/>
    <w:rsid w:val="00333BE3"/>
    <w:rPr>
      <w:rFonts w:ascii="Lucida Grande" w:hAnsi="Lucida Grande"/>
      <w:sz w:val="18"/>
      <w:szCs w:val="18"/>
    </w:rPr>
  </w:style>
  <w:style w:type="character" w:styleId="CommentReference">
    <w:name w:val="annotation reference"/>
    <w:basedOn w:val="DefaultParagraphFont"/>
    <w:uiPriority w:val="99"/>
    <w:semiHidden/>
    <w:unhideWhenUsed/>
    <w:rsid w:val="006D25C3"/>
    <w:rPr>
      <w:sz w:val="18"/>
      <w:szCs w:val="18"/>
    </w:rPr>
  </w:style>
  <w:style w:type="paragraph" w:styleId="CommentText">
    <w:name w:val="annotation text"/>
    <w:basedOn w:val="Normal"/>
    <w:link w:val="CommentTextChar"/>
    <w:uiPriority w:val="99"/>
    <w:semiHidden/>
    <w:unhideWhenUsed/>
    <w:rsid w:val="006D25C3"/>
  </w:style>
  <w:style w:type="character" w:customStyle="1" w:styleId="CommentTextChar">
    <w:name w:val="Comment Text Char"/>
    <w:basedOn w:val="DefaultParagraphFont"/>
    <w:link w:val="CommentText"/>
    <w:uiPriority w:val="99"/>
    <w:semiHidden/>
    <w:rsid w:val="006D25C3"/>
  </w:style>
  <w:style w:type="paragraph" w:styleId="CommentSubject">
    <w:name w:val="annotation subject"/>
    <w:basedOn w:val="CommentText"/>
    <w:next w:val="CommentText"/>
    <w:link w:val="CommentSubjectChar"/>
    <w:uiPriority w:val="99"/>
    <w:semiHidden/>
    <w:unhideWhenUsed/>
    <w:rsid w:val="006D25C3"/>
    <w:rPr>
      <w:b/>
      <w:bCs/>
      <w:sz w:val="20"/>
      <w:szCs w:val="20"/>
    </w:rPr>
  </w:style>
  <w:style w:type="character" w:customStyle="1" w:styleId="CommentSubjectChar">
    <w:name w:val="Comment Subject Char"/>
    <w:basedOn w:val="CommentTextChar"/>
    <w:link w:val="CommentSubject"/>
    <w:uiPriority w:val="99"/>
    <w:semiHidden/>
    <w:rsid w:val="006D25C3"/>
    <w:rPr>
      <w:b/>
      <w:bCs/>
      <w:sz w:val="20"/>
      <w:szCs w:val="20"/>
    </w:rPr>
  </w:style>
  <w:style w:type="character" w:styleId="Hyperlink">
    <w:name w:val="Hyperlink"/>
    <w:basedOn w:val="DefaultParagraphFont"/>
    <w:uiPriority w:val="99"/>
    <w:unhideWhenUsed/>
    <w:rsid w:val="000524D1"/>
    <w:rPr>
      <w:color w:val="0000FF" w:themeColor="hyperlink"/>
      <w:u w:val="single"/>
    </w:rPr>
  </w:style>
  <w:style w:type="character" w:customStyle="1" w:styleId="costarpage">
    <w:name w:val="co_starpage"/>
    <w:basedOn w:val="DefaultParagraphFont"/>
    <w:rsid w:val="00466B60"/>
  </w:style>
  <w:style w:type="paragraph" w:styleId="Revision">
    <w:name w:val="Revision"/>
    <w:hidden/>
    <w:uiPriority w:val="99"/>
    <w:semiHidden/>
    <w:rsid w:val="00DF081C"/>
  </w:style>
  <w:style w:type="character" w:styleId="FollowedHyperlink">
    <w:name w:val="FollowedHyperlink"/>
    <w:basedOn w:val="DefaultParagraphFont"/>
    <w:uiPriority w:val="99"/>
    <w:semiHidden/>
    <w:unhideWhenUsed/>
    <w:rsid w:val="000205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1233">
      <w:bodyDiv w:val="1"/>
      <w:marLeft w:val="0"/>
      <w:marRight w:val="0"/>
      <w:marTop w:val="0"/>
      <w:marBottom w:val="0"/>
      <w:divBdr>
        <w:top w:val="none" w:sz="0" w:space="0" w:color="auto"/>
        <w:left w:val="none" w:sz="0" w:space="0" w:color="auto"/>
        <w:bottom w:val="none" w:sz="0" w:space="0" w:color="auto"/>
        <w:right w:val="none" w:sz="0" w:space="0" w:color="auto"/>
      </w:divBdr>
      <w:divsChild>
        <w:div w:id="1543597601">
          <w:marLeft w:val="0"/>
          <w:marRight w:val="0"/>
          <w:marTop w:val="0"/>
          <w:marBottom w:val="0"/>
          <w:divBdr>
            <w:top w:val="none" w:sz="0" w:space="0" w:color="auto"/>
            <w:left w:val="none" w:sz="0" w:space="0" w:color="auto"/>
            <w:bottom w:val="none" w:sz="0" w:space="0" w:color="auto"/>
            <w:right w:val="none" w:sz="0" w:space="0" w:color="auto"/>
          </w:divBdr>
          <w:divsChild>
            <w:div w:id="1131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708">
      <w:bodyDiv w:val="1"/>
      <w:marLeft w:val="0"/>
      <w:marRight w:val="0"/>
      <w:marTop w:val="0"/>
      <w:marBottom w:val="0"/>
      <w:divBdr>
        <w:top w:val="none" w:sz="0" w:space="0" w:color="auto"/>
        <w:left w:val="none" w:sz="0" w:space="0" w:color="auto"/>
        <w:bottom w:val="none" w:sz="0" w:space="0" w:color="auto"/>
        <w:right w:val="none" w:sz="0" w:space="0" w:color="auto"/>
      </w:divBdr>
    </w:div>
    <w:div w:id="198664160">
      <w:bodyDiv w:val="1"/>
      <w:marLeft w:val="0"/>
      <w:marRight w:val="0"/>
      <w:marTop w:val="0"/>
      <w:marBottom w:val="0"/>
      <w:divBdr>
        <w:top w:val="none" w:sz="0" w:space="0" w:color="auto"/>
        <w:left w:val="none" w:sz="0" w:space="0" w:color="auto"/>
        <w:bottom w:val="none" w:sz="0" w:space="0" w:color="auto"/>
        <w:right w:val="none" w:sz="0" w:space="0" w:color="auto"/>
      </w:divBdr>
    </w:div>
    <w:div w:id="221210849">
      <w:bodyDiv w:val="1"/>
      <w:marLeft w:val="0"/>
      <w:marRight w:val="0"/>
      <w:marTop w:val="0"/>
      <w:marBottom w:val="0"/>
      <w:divBdr>
        <w:top w:val="none" w:sz="0" w:space="0" w:color="auto"/>
        <w:left w:val="none" w:sz="0" w:space="0" w:color="auto"/>
        <w:bottom w:val="none" w:sz="0" w:space="0" w:color="auto"/>
        <w:right w:val="none" w:sz="0" w:space="0" w:color="auto"/>
      </w:divBdr>
      <w:divsChild>
        <w:div w:id="947152583">
          <w:marLeft w:val="0"/>
          <w:marRight w:val="0"/>
          <w:marTop w:val="0"/>
          <w:marBottom w:val="0"/>
          <w:divBdr>
            <w:top w:val="none" w:sz="0" w:space="0" w:color="auto"/>
            <w:left w:val="none" w:sz="0" w:space="0" w:color="auto"/>
            <w:bottom w:val="none" w:sz="0" w:space="0" w:color="auto"/>
            <w:right w:val="none" w:sz="0" w:space="0" w:color="auto"/>
          </w:divBdr>
          <w:divsChild>
            <w:div w:id="1867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111">
      <w:bodyDiv w:val="1"/>
      <w:marLeft w:val="0"/>
      <w:marRight w:val="0"/>
      <w:marTop w:val="0"/>
      <w:marBottom w:val="0"/>
      <w:divBdr>
        <w:top w:val="none" w:sz="0" w:space="0" w:color="auto"/>
        <w:left w:val="none" w:sz="0" w:space="0" w:color="auto"/>
        <w:bottom w:val="none" w:sz="0" w:space="0" w:color="auto"/>
        <w:right w:val="none" w:sz="0" w:space="0" w:color="auto"/>
      </w:divBdr>
      <w:divsChild>
        <w:div w:id="1601255154">
          <w:marLeft w:val="0"/>
          <w:marRight w:val="0"/>
          <w:marTop w:val="0"/>
          <w:marBottom w:val="0"/>
          <w:divBdr>
            <w:top w:val="none" w:sz="0" w:space="0" w:color="auto"/>
            <w:left w:val="none" w:sz="0" w:space="0" w:color="auto"/>
            <w:bottom w:val="none" w:sz="0" w:space="0" w:color="auto"/>
            <w:right w:val="none" w:sz="0" w:space="0" w:color="auto"/>
          </w:divBdr>
          <w:divsChild>
            <w:div w:id="1744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3501">
      <w:bodyDiv w:val="1"/>
      <w:marLeft w:val="0"/>
      <w:marRight w:val="0"/>
      <w:marTop w:val="0"/>
      <w:marBottom w:val="0"/>
      <w:divBdr>
        <w:top w:val="none" w:sz="0" w:space="0" w:color="auto"/>
        <w:left w:val="none" w:sz="0" w:space="0" w:color="auto"/>
        <w:bottom w:val="none" w:sz="0" w:space="0" w:color="auto"/>
        <w:right w:val="none" w:sz="0" w:space="0" w:color="auto"/>
      </w:divBdr>
      <w:divsChild>
        <w:div w:id="1924416257">
          <w:marLeft w:val="0"/>
          <w:marRight w:val="0"/>
          <w:marTop w:val="0"/>
          <w:marBottom w:val="0"/>
          <w:divBdr>
            <w:top w:val="none" w:sz="0" w:space="0" w:color="auto"/>
            <w:left w:val="none" w:sz="0" w:space="0" w:color="auto"/>
            <w:bottom w:val="none" w:sz="0" w:space="0" w:color="auto"/>
            <w:right w:val="none" w:sz="0" w:space="0" w:color="auto"/>
          </w:divBdr>
          <w:divsChild>
            <w:div w:id="20675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27143">
      <w:bodyDiv w:val="1"/>
      <w:marLeft w:val="0"/>
      <w:marRight w:val="0"/>
      <w:marTop w:val="0"/>
      <w:marBottom w:val="0"/>
      <w:divBdr>
        <w:top w:val="none" w:sz="0" w:space="0" w:color="auto"/>
        <w:left w:val="none" w:sz="0" w:space="0" w:color="auto"/>
        <w:bottom w:val="none" w:sz="0" w:space="0" w:color="auto"/>
        <w:right w:val="none" w:sz="0" w:space="0" w:color="auto"/>
      </w:divBdr>
    </w:div>
    <w:div w:id="408162169">
      <w:bodyDiv w:val="1"/>
      <w:marLeft w:val="0"/>
      <w:marRight w:val="0"/>
      <w:marTop w:val="0"/>
      <w:marBottom w:val="0"/>
      <w:divBdr>
        <w:top w:val="none" w:sz="0" w:space="0" w:color="auto"/>
        <w:left w:val="none" w:sz="0" w:space="0" w:color="auto"/>
        <w:bottom w:val="none" w:sz="0" w:space="0" w:color="auto"/>
        <w:right w:val="none" w:sz="0" w:space="0" w:color="auto"/>
      </w:divBdr>
    </w:div>
    <w:div w:id="416052315">
      <w:bodyDiv w:val="1"/>
      <w:marLeft w:val="0"/>
      <w:marRight w:val="0"/>
      <w:marTop w:val="0"/>
      <w:marBottom w:val="0"/>
      <w:divBdr>
        <w:top w:val="none" w:sz="0" w:space="0" w:color="auto"/>
        <w:left w:val="none" w:sz="0" w:space="0" w:color="auto"/>
        <w:bottom w:val="none" w:sz="0" w:space="0" w:color="auto"/>
        <w:right w:val="none" w:sz="0" w:space="0" w:color="auto"/>
      </w:divBdr>
      <w:divsChild>
        <w:div w:id="1675834792">
          <w:marLeft w:val="0"/>
          <w:marRight w:val="0"/>
          <w:marTop w:val="0"/>
          <w:marBottom w:val="0"/>
          <w:divBdr>
            <w:top w:val="none" w:sz="0" w:space="0" w:color="auto"/>
            <w:left w:val="none" w:sz="0" w:space="0" w:color="auto"/>
            <w:bottom w:val="none" w:sz="0" w:space="0" w:color="auto"/>
            <w:right w:val="none" w:sz="0" w:space="0" w:color="auto"/>
          </w:divBdr>
          <w:divsChild>
            <w:div w:id="20664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30081">
      <w:bodyDiv w:val="1"/>
      <w:marLeft w:val="0"/>
      <w:marRight w:val="0"/>
      <w:marTop w:val="0"/>
      <w:marBottom w:val="0"/>
      <w:divBdr>
        <w:top w:val="none" w:sz="0" w:space="0" w:color="auto"/>
        <w:left w:val="none" w:sz="0" w:space="0" w:color="auto"/>
        <w:bottom w:val="none" w:sz="0" w:space="0" w:color="auto"/>
        <w:right w:val="none" w:sz="0" w:space="0" w:color="auto"/>
      </w:divBdr>
    </w:div>
    <w:div w:id="501554353">
      <w:bodyDiv w:val="1"/>
      <w:marLeft w:val="0"/>
      <w:marRight w:val="0"/>
      <w:marTop w:val="0"/>
      <w:marBottom w:val="0"/>
      <w:divBdr>
        <w:top w:val="none" w:sz="0" w:space="0" w:color="auto"/>
        <w:left w:val="none" w:sz="0" w:space="0" w:color="auto"/>
        <w:bottom w:val="none" w:sz="0" w:space="0" w:color="auto"/>
        <w:right w:val="none" w:sz="0" w:space="0" w:color="auto"/>
      </w:divBdr>
    </w:div>
    <w:div w:id="570047066">
      <w:bodyDiv w:val="1"/>
      <w:marLeft w:val="0"/>
      <w:marRight w:val="0"/>
      <w:marTop w:val="0"/>
      <w:marBottom w:val="0"/>
      <w:divBdr>
        <w:top w:val="none" w:sz="0" w:space="0" w:color="auto"/>
        <w:left w:val="none" w:sz="0" w:space="0" w:color="auto"/>
        <w:bottom w:val="none" w:sz="0" w:space="0" w:color="auto"/>
        <w:right w:val="none" w:sz="0" w:space="0" w:color="auto"/>
      </w:divBdr>
      <w:divsChild>
        <w:div w:id="2072344635">
          <w:marLeft w:val="0"/>
          <w:marRight w:val="0"/>
          <w:marTop w:val="0"/>
          <w:marBottom w:val="0"/>
          <w:divBdr>
            <w:top w:val="none" w:sz="0" w:space="0" w:color="auto"/>
            <w:left w:val="none" w:sz="0" w:space="0" w:color="auto"/>
            <w:bottom w:val="none" w:sz="0" w:space="0" w:color="auto"/>
            <w:right w:val="none" w:sz="0" w:space="0" w:color="auto"/>
          </w:divBdr>
          <w:divsChild>
            <w:div w:id="13254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9640">
      <w:bodyDiv w:val="1"/>
      <w:marLeft w:val="0"/>
      <w:marRight w:val="0"/>
      <w:marTop w:val="0"/>
      <w:marBottom w:val="0"/>
      <w:divBdr>
        <w:top w:val="none" w:sz="0" w:space="0" w:color="auto"/>
        <w:left w:val="none" w:sz="0" w:space="0" w:color="auto"/>
        <w:bottom w:val="none" w:sz="0" w:space="0" w:color="auto"/>
        <w:right w:val="none" w:sz="0" w:space="0" w:color="auto"/>
      </w:divBdr>
    </w:div>
    <w:div w:id="799878890">
      <w:bodyDiv w:val="1"/>
      <w:marLeft w:val="0"/>
      <w:marRight w:val="0"/>
      <w:marTop w:val="0"/>
      <w:marBottom w:val="0"/>
      <w:divBdr>
        <w:top w:val="none" w:sz="0" w:space="0" w:color="auto"/>
        <w:left w:val="none" w:sz="0" w:space="0" w:color="auto"/>
        <w:bottom w:val="none" w:sz="0" w:space="0" w:color="auto"/>
        <w:right w:val="none" w:sz="0" w:space="0" w:color="auto"/>
      </w:divBdr>
    </w:div>
    <w:div w:id="835271746">
      <w:bodyDiv w:val="1"/>
      <w:marLeft w:val="0"/>
      <w:marRight w:val="0"/>
      <w:marTop w:val="0"/>
      <w:marBottom w:val="0"/>
      <w:divBdr>
        <w:top w:val="none" w:sz="0" w:space="0" w:color="auto"/>
        <w:left w:val="none" w:sz="0" w:space="0" w:color="auto"/>
        <w:bottom w:val="none" w:sz="0" w:space="0" w:color="auto"/>
        <w:right w:val="none" w:sz="0" w:space="0" w:color="auto"/>
      </w:divBdr>
    </w:div>
    <w:div w:id="1003699743">
      <w:bodyDiv w:val="1"/>
      <w:marLeft w:val="0"/>
      <w:marRight w:val="0"/>
      <w:marTop w:val="0"/>
      <w:marBottom w:val="0"/>
      <w:divBdr>
        <w:top w:val="none" w:sz="0" w:space="0" w:color="auto"/>
        <w:left w:val="none" w:sz="0" w:space="0" w:color="auto"/>
        <w:bottom w:val="none" w:sz="0" w:space="0" w:color="auto"/>
        <w:right w:val="none" w:sz="0" w:space="0" w:color="auto"/>
      </w:divBdr>
    </w:div>
    <w:div w:id="1021974485">
      <w:bodyDiv w:val="1"/>
      <w:marLeft w:val="0"/>
      <w:marRight w:val="0"/>
      <w:marTop w:val="0"/>
      <w:marBottom w:val="0"/>
      <w:divBdr>
        <w:top w:val="none" w:sz="0" w:space="0" w:color="auto"/>
        <w:left w:val="none" w:sz="0" w:space="0" w:color="auto"/>
        <w:bottom w:val="none" w:sz="0" w:space="0" w:color="auto"/>
        <w:right w:val="none" w:sz="0" w:space="0" w:color="auto"/>
      </w:divBdr>
    </w:div>
    <w:div w:id="1035469664">
      <w:bodyDiv w:val="1"/>
      <w:marLeft w:val="0"/>
      <w:marRight w:val="0"/>
      <w:marTop w:val="0"/>
      <w:marBottom w:val="0"/>
      <w:divBdr>
        <w:top w:val="none" w:sz="0" w:space="0" w:color="auto"/>
        <w:left w:val="none" w:sz="0" w:space="0" w:color="auto"/>
        <w:bottom w:val="none" w:sz="0" w:space="0" w:color="auto"/>
        <w:right w:val="none" w:sz="0" w:space="0" w:color="auto"/>
      </w:divBdr>
      <w:divsChild>
        <w:div w:id="402535169">
          <w:marLeft w:val="0"/>
          <w:marRight w:val="0"/>
          <w:marTop w:val="0"/>
          <w:marBottom w:val="0"/>
          <w:divBdr>
            <w:top w:val="none" w:sz="0" w:space="0" w:color="auto"/>
            <w:left w:val="none" w:sz="0" w:space="0" w:color="auto"/>
            <w:bottom w:val="none" w:sz="0" w:space="0" w:color="auto"/>
            <w:right w:val="none" w:sz="0" w:space="0" w:color="auto"/>
          </w:divBdr>
          <w:divsChild>
            <w:div w:id="1615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917">
      <w:bodyDiv w:val="1"/>
      <w:marLeft w:val="0"/>
      <w:marRight w:val="0"/>
      <w:marTop w:val="0"/>
      <w:marBottom w:val="0"/>
      <w:divBdr>
        <w:top w:val="none" w:sz="0" w:space="0" w:color="auto"/>
        <w:left w:val="none" w:sz="0" w:space="0" w:color="auto"/>
        <w:bottom w:val="none" w:sz="0" w:space="0" w:color="auto"/>
        <w:right w:val="none" w:sz="0" w:space="0" w:color="auto"/>
      </w:divBdr>
    </w:div>
    <w:div w:id="1156384042">
      <w:bodyDiv w:val="1"/>
      <w:marLeft w:val="0"/>
      <w:marRight w:val="0"/>
      <w:marTop w:val="0"/>
      <w:marBottom w:val="0"/>
      <w:divBdr>
        <w:top w:val="none" w:sz="0" w:space="0" w:color="auto"/>
        <w:left w:val="none" w:sz="0" w:space="0" w:color="auto"/>
        <w:bottom w:val="none" w:sz="0" w:space="0" w:color="auto"/>
        <w:right w:val="none" w:sz="0" w:space="0" w:color="auto"/>
      </w:divBdr>
    </w:div>
    <w:div w:id="1158427103">
      <w:bodyDiv w:val="1"/>
      <w:marLeft w:val="0"/>
      <w:marRight w:val="0"/>
      <w:marTop w:val="0"/>
      <w:marBottom w:val="0"/>
      <w:divBdr>
        <w:top w:val="none" w:sz="0" w:space="0" w:color="auto"/>
        <w:left w:val="none" w:sz="0" w:space="0" w:color="auto"/>
        <w:bottom w:val="none" w:sz="0" w:space="0" w:color="auto"/>
        <w:right w:val="none" w:sz="0" w:space="0" w:color="auto"/>
      </w:divBdr>
      <w:divsChild>
        <w:div w:id="1024090367">
          <w:marLeft w:val="0"/>
          <w:marRight w:val="0"/>
          <w:marTop w:val="0"/>
          <w:marBottom w:val="0"/>
          <w:divBdr>
            <w:top w:val="none" w:sz="0" w:space="0" w:color="auto"/>
            <w:left w:val="none" w:sz="0" w:space="0" w:color="auto"/>
            <w:bottom w:val="none" w:sz="0" w:space="0" w:color="auto"/>
            <w:right w:val="none" w:sz="0" w:space="0" w:color="auto"/>
          </w:divBdr>
          <w:divsChild>
            <w:div w:id="11788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073">
      <w:bodyDiv w:val="1"/>
      <w:marLeft w:val="0"/>
      <w:marRight w:val="0"/>
      <w:marTop w:val="0"/>
      <w:marBottom w:val="0"/>
      <w:divBdr>
        <w:top w:val="none" w:sz="0" w:space="0" w:color="auto"/>
        <w:left w:val="none" w:sz="0" w:space="0" w:color="auto"/>
        <w:bottom w:val="none" w:sz="0" w:space="0" w:color="auto"/>
        <w:right w:val="none" w:sz="0" w:space="0" w:color="auto"/>
      </w:divBdr>
    </w:div>
    <w:div w:id="1322736708">
      <w:bodyDiv w:val="1"/>
      <w:marLeft w:val="0"/>
      <w:marRight w:val="0"/>
      <w:marTop w:val="0"/>
      <w:marBottom w:val="0"/>
      <w:divBdr>
        <w:top w:val="none" w:sz="0" w:space="0" w:color="auto"/>
        <w:left w:val="none" w:sz="0" w:space="0" w:color="auto"/>
        <w:bottom w:val="none" w:sz="0" w:space="0" w:color="auto"/>
        <w:right w:val="none" w:sz="0" w:space="0" w:color="auto"/>
      </w:divBdr>
    </w:div>
    <w:div w:id="1392116528">
      <w:bodyDiv w:val="1"/>
      <w:marLeft w:val="0"/>
      <w:marRight w:val="0"/>
      <w:marTop w:val="0"/>
      <w:marBottom w:val="0"/>
      <w:divBdr>
        <w:top w:val="none" w:sz="0" w:space="0" w:color="auto"/>
        <w:left w:val="none" w:sz="0" w:space="0" w:color="auto"/>
        <w:bottom w:val="none" w:sz="0" w:space="0" w:color="auto"/>
        <w:right w:val="none" w:sz="0" w:space="0" w:color="auto"/>
      </w:divBdr>
    </w:div>
    <w:div w:id="1414165690">
      <w:bodyDiv w:val="1"/>
      <w:marLeft w:val="0"/>
      <w:marRight w:val="0"/>
      <w:marTop w:val="0"/>
      <w:marBottom w:val="0"/>
      <w:divBdr>
        <w:top w:val="none" w:sz="0" w:space="0" w:color="auto"/>
        <w:left w:val="none" w:sz="0" w:space="0" w:color="auto"/>
        <w:bottom w:val="none" w:sz="0" w:space="0" w:color="auto"/>
        <w:right w:val="none" w:sz="0" w:space="0" w:color="auto"/>
      </w:divBdr>
      <w:divsChild>
        <w:div w:id="860126362">
          <w:marLeft w:val="0"/>
          <w:marRight w:val="0"/>
          <w:marTop w:val="0"/>
          <w:marBottom w:val="0"/>
          <w:divBdr>
            <w:top w:val="none" w:sz="0" w:space="0" w:color="auto"/>
            <w:left w:val="none" w:sz="0" w:space="0" w:color="auto"/>
            <w:bottom w:val="none" w:sz="0" w:space="0" w:color="auto"/>
            <w:right w:val="none" w:sz="0" w:space="0" w:color="auto"/>
          </w:divBdr>
          <w:divsChild>
            <w:div w:id="908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3547">
      <w:bodyDiv w:val="1"/>
      <w:marLeft w:val="0"/>
      <w:marRight w:val="0"/>
      <w:marTop w:val="0"/>
      <w:marBottom w:val="0"/>
      <w:divBdr>
        <w:top w:val="none" w:sz="0" w:space="0" w:color="auto"/>
        <w:left w:val="none" w:sz="0" w:space="0" w:color="auto"/>
        <w:bottom w:val="none" w:sz="0" w:space="0" w:color="auto"/>
        <w:right w:val="none" w:sz="0" w:space="0" w:color="auto"/>
      </w:divBdr>
    </w:div>
    <w:div w:id="1485776073">
      <w:bodyDiv w:val="1"/>
      <w:marLeft w:val="0"/>
      <w:marRight w:val="0"/>
      <w:marTop w:val="0"/>
      <w:marBottom w:val="0"/>
      <w:divBdr>
        <w:top w:val="none" w:sz="0" w:space="0" w:color="auto"/>
        <w:left w:val="none" w:sz="0" w:space="0" w:color="auto"/>
        <w:bottom w:val="none" w:sz="0" w:space="0" w:color="auto"/>
        <w:right w:val="none" w:sz="0" w:space="0" w:color="auto"/>
      </w:divBdr>
    </w:div>
    <w:div w:id="1542521508">
      <w:bodyDiv w:val="1"/>
      <w:marLeft w:val="0"/>
      <w:marRight w:val="0"/>
      <w:marTop w:val="0"/>
      <w:marBottom w:val="0"/>
      <w:divBdr>
        <w:top w:val="none" w:sz="0" w:space="0" w:color="auto"/>
        <w:left w:val="none" w:sz="0" w:space="0" w:color="auto"/>
        <w:bottom w:val="none" w:sz="0" w:space="0" w:color="auto"/>
        <w:right w:val="none" w:sz="0" w:space="0" w:color="auto"/>
      </w:divBdr>
      <w:divsChild>
        <w:div w:id="1614022665">
          <w:marLeft w:val="0"/>
          <w:marRight w:val="0"/>
          <w:marTop w:val="0"/>
          <w:marBottom w:val="0"/>
          <w:divBdr>
            <w:top w:val="none" w:sz="0" w:space="0" w:color="auto"/>
            <w:left w:val="none" w:sz="0" w:space="0" w:color="auto"/>
            <w:bottom w:val="none" w:sz="0" w:space="0" w:color="auto"/>
            <w:right w:val="none" w:sz="0" w:space="0" w:color="auto"/>
          </w:divBdr>
          <w:divsChild>
            <w:div w:id="327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687">
      <w:bodyDiv w:val="1"/>
      <w:marLeft w:val="0"/>
      <w:marRight w:val="0"/>
      <w:marTop w:val="0"/>
      <w:marBottom w:val="0"/>
      <w:divBdr>
        <w:top w:val="none" w:sz="0" w:space="0" w:color="auto"/>
        <w:left w:val="none" w:sz="0" w:space="0" w:color="auto"/>
        <w:bottom w:val="none" w:sz="0" w:space="0" w:color="auto"/>
        <w:right w:val="none" w:sz="0" w:space="0" w:color="auto"/>
      </w:divBdr>
      <w:divsChild>
        <w:div w:id="1145052284">
          <w:marLeft w:val="0"/>
          <w:marRight w:val="0"/>
          <w:marTop w:val="0"/>
          <w:marBottom w:val="0"/>
          <w:divBdr>
            <w:top w:val="none" w:sz="0" w:space="0" w:color="auto"/>
            <w:left w:val="none" w:sz="0" w:space="0" w:color="auto"/>
            <w:bottom w:val="none" w:sz="0" w:space="0" w:color="auto"/>
            <w:right w:val="none" w:sz="0" w:space="0" w:color="auto"/>
          </w:divBdr>
          <w:divsChild>
            <w:div w:id="17099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0373">
      <w:bodyDiv w:val="1"/>
      <w:marLeft w:val="0"/>
      <w:marRight w:val="0"/>
      <w:marTop w:val="0"/>
      <w:marBottom w:val="0"/>
      <w:divBdr>
        <w:top w:val="none" w:sz="0" w:space="0" w:color="auto"/>
        <w:left w:val="none" w:sz="0" w:space="0" w:color="auto"/>
        <w:bottom w:val="none" w:sz="0" w:space="0" w:color="auto"/>
        <w:right w:val="none" w:sz="0" w:space="0" w:color="auto"/>
      </w:divBdr>
      <w:divsChild>
        <w:div w:id="945499905">
          <w:marLeft w:val="0"/>
          <w:marRight w:val="0"/>
          <w:marTop w:val="0"/>
          <w:marBottom w:val="0"/>
          <w:divBdr>
            <w:top w:val="none" w:sz="0" w:space="0" w:color="auto"/>
            <w:left w:val="none" w:sz="0" w:space="0" w:color="auto"/>
            <w:bottom w:val="none" w:sz="0" w:space="0" w:color="auto"/>
            <w:right w:val="none" w:sz="0" w:space="0" w:color="auto"/>
          </w:divBdr>
          <w:divsChild>
            <w:div w:id="11576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4425">
      <w:bodyDiv w:val="1"/>
      <w:marLeft w:val="0"/>
      <w:marRight w:val="0"/>
      <w:marTop w:val="0"/>
      <w:marBottom w:val="0"/>
      <w:divBdr>
        <w:top w:val="none" w:sz="0" w:space="0" w:color="auto"/>
        <w:left w:val="none" w:sz="0" w:space="0" w:color="auto"/>
        <w:bottom w:val="none" w:sz="0" w:space="0" w:color="auto"/>
        <w:right w:val="none" w:sz="0" w:space="0" w:color="auto"/>
      </w:divBdr>
    </w:div>
    <w:div w:id="1889146951">
      <w:bodyDiv w:val="1"/>
      <w:marLeft w:val="0"/>
      <w:marRight w:val="0"/>
      <w:marTop w:val="0"/>
      <w:marBottom w:val="0"/>
      <w:divBdr>
        <w:top w:val="none" w:sz="0" w:space="0" w:color="auto"/>
        <w:left w:val="none" w:sz="0" w:space="0" w:color="auto"/>
        <w:bottom w:val="none" w:sz="0" w:space="0" w:color="auto"/>
        <w:right w:val="none" w:sz="0" w:space="0" w:color="auto"/>
      </w:divBdr>
    </w:div>
    <w:div w:id="1959098054">
      <w:bodyDiv w:val="1"/>
      <w:marLeft w:val="0"/>
      <w:marRight w:val="0"/>
      <w:marTop w:val="0"/>
      <w:marBottom w:val="0"/>
      <w:divBdr>
        <w:top w:val="none" w:sz="0" w:space="0" w:color="auto"/>
        <w:left w:val="none" w:sz="0" w:space="0" w:color="auto"/>
        <w:bottom w:val="none" w:sz="0" w:space="0" w:color="auto"/>
        <w:right w:val="none" w:sz="0" w:space="0" w:color="auto"/>
      </w:divBdr>
      <w:divsChild>
        <w:div w:id="1503473590">
          <w:marLeft w:val="0"/>
          <w:marRight w:val="0"/>
          <w:marTop w:val="0"/>
          <w:marBottom w:val="0"/>
          <w:divBdr>
            <w:top w:val="none" w:sz="0" w:space="0" w:color="auto"/>
            <w:left w:val="none" w:sz="0" w:space="0" w:color="auto"/>
            <w:bottom w:val="none" w:sz="0" w:space="0" w:color="auto"/>
            <w:right w:val="none" w:sz="0" w:space="0" w:color="auto"/>
          </w:divBdr>
          <w:divsChild>
            <w:div w:id="4174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4217">
      <w:bodyDiv w:val="1"/>
      <w:marLeft w:val="0"/>
      <w:marRight w:val="0"/>
      <w:marTop w:val="0"/>
      <w:marBottom w:val="0"/>
      <w:divBdr>
        <w:top w:val="none" w:sz="0" w:space="0" w:color="auto"/>
        <w:left w:val="none" w:sz="0" w:space="0" w:color="auto"/>
        <w:bottom w:val="none" w:sz="0" w:space="0" w:color="auto"/>
        <w:right w:val="none" w:sz="0" w:space="0" w:color="auto"/>
      </w:divBdr>
      <w:divsChild>
        <w:div w:id="1021854718">
          <w:marLeft w:val="0"/>
          <w:marRight w:val="0"/>
          <w:marTop w:val="0"/>
          <w:marBottom w:val="0"/>
          <w:divBdr>
            <w:top w:val="none" w:sz="0" w:space="0" w:color="auto"/>
            <w:left w:val="none" w:sz="0" w:space="0" w:color="auto"/>
            <w:bottom w:val="none" w:sz="0" w:space="0" w:color="auto"/>
            <w:right w:val="none" w:sz="0" w:space="0" w:color="auto"/>
          </w:divBdr>
          <w:divsChild>
            <w:div w:id="3269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12008E101:EN:NOT" TargetMode="External"/><Relationship Id="rId13" Type="http://schemas.openxmlformats.org/officeDocument/2006/relationships/hyperlink" Target="http://europa.eu/legislation_summaries/glossary/european_commission_e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index_e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omplaw.com/use-of-burden-shifting-in-deci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toritedelaconcurrence.fr/user/index.php" TargetMode="External"/><Relationship Id="rId4" Type="http://schemas.openxmlformats.org/officeDocument/2006/relationships/settings" Target="settings.xml"/><Relationship Id="rId9" Type="http://schemas.openxmlformats.org/officeDocument/2006/relationships/hyperlink" Target="http://www.eucomplaw.com/the-case/concerted-practice/" TargetMode="External"/><Relationship Id="rId14" Type="http://schemas.openxmlformats.org/officeDocument/2006/relationships/hyperlink" Target="http://www.cvce.eu/content/publication/1997/10/13/fea7d215-e7e5-4882-ab3c-ee08605621b8/publishabl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B82D-7F1A-4588-9C66-F195051D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NYLS</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Vesey</dc:creator>
  <cp:lastModifiedBy>visitor</cp:lastModifiedBy>
  <cp:revision>2</cp:revision>
  <cp:lastPrinted>2013-04-25T14:09:00Z</cp:lastPrinted>
  <dcterms:created xsi:type="dcterms:W3CDTF">2013-04-26T17:10:00Z</dcterms:created>
  <dcterms:modified xsi:type="dcterms:W3CDTF">2013-04-26T17:10:00Z</dcterms:modified>
</cp:coreProperties>
</file>